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附件</w:t>
      </w:r>
    </w:p>
    <w:p>
      <w:pPr>
        <w:spacing w:line="600" w:lineRule="exact"/>
        <w:jc w:val="center"/>
        <w:rPr>
          <w:rFonts w:ascii="方正小标宋简体" w:eastAsia="方正小标宋简体"/>
          <w:sz w:val="32"/>
          <w:szCs w:val="32"/>
        </w:rPr>
      </w:pPr>
      <w:bookmarkStart w:id="0" w:name="_GoBack"/>
      <w:r>
        <w:rPr>
          <w:rFonts w:hint="eastAsia" w:ascii="方正小标宋简体" w:eastAsia="方正小标宋简体"/>
          <w:sz w:val="32"/>
          <w:szCs w:val="32"/>
        </w:rPr>
        <w:t>监察执法二处2023年第16批行政处罚信息公开表</w:t>
      </w:r>
    </w:p>
    <w:bookmarkEnd w:id="0"/>
    <w:p>
      <w:pPr>
        <w:spacing w:line="560" w:lineRule="exact"/>
        <w:jc w:val="center"/>
        <w:rPr>
          <w:rFonts w:ascii="方正小标宋简体" w:eastAsia="方正小标宋简体"/>
          <w:sz w:val="32"/>
          <w:szCs w:val="32"/>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605"/>
        <w:gridCol w:w="1835"/>
        <w:gridCol w:w="1302"/>
        <w:gridCol w:w="5910"/>
        <w:gridCol w:w="1166"/>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pct"/>
            <w:vAlign w:val="center"/>
          </w:tcPr>
          <w:p>
            <w:pPr>
              <w:spacing w:line="560" w:lineRule="exact"/>
              <w:rPr>
                <w:b/>
              </w:rPr>
            </w:pPr>
            <w:r>
              <w:rPr>
                <w:rFonts w:hint="eastAsia"/>
                <w:b/>
              </w:rPr>
              <w:t>序号</w:t>
            </w:r>
          </w:p>
        </w:tc>
        <w:tc>
          <w:tcPr>
            <w:tcW w:w="566" w:type="pct"/>
            <w:vAlign w:val="center"/>
          </w:tcPr>
          <w:p>
            <w:pPr>
              <w:spacing w:line="560" w:lineRule="exact"/>
              <w:rPr>
                <w:b/>
              </w:rPr>
            </w:pPr>
            <w:r>
              <w:rPr>
                <w:rFonts w:hint="eastAsia"/>
                <w:b/>
              </w:rPr>
              <w:t>执法决定日期</w:t>
            </w:r>
          </w:p>
        </w:tc>
        <w:tc>
          <w:tcPr>
            <w:tcW w:w="647" w:type="pct"/>
            <w:vAlign w:val="center"/>
          </w:tcPr>
          <w:p>
            <w:pPr>
              <w:spacing w:line="560" w:lineRule="exact"/>
              <w:rPr>
                <w:b/>
              </w:rPr>
            </w:pPr>
            <w:r>
              <w:rPr>
                <w:rFonts w:hint="eastAsia"/>
                <w:b/>
              </w:rPr>
              <w:t>执法主体</w:t>
            </w:r>
          </w:p>
        </w:tc>
        <w:tc>
          <w:tcPr>
            <w:tcW w:w="459" w:type="pct"/>
            <w:vAlign w:val="center"/>
          </w:tcPr>
          <w:p>
            <w:pPr>
              <w:spacing w:line="560" w:lineRule="exact"/>
              <w:rPr>
                <w:b/>
              </w:rPr>
            </w:pPr>
            <w:r>
              <w:rPr>
                <w:b/>
              </w:rPr>
              <w:t>执法对</w:t>
            </w:r>
            <w:r>
              <w:rPr>
                <w:rFonts w:hint="eastAsia"/>
                <w:b/>
              </w:rPr>
              <w:t xml:space="preserve"> </w:t>
            </w:r>
            <w:r>
              <w:rPr>
                <w:b/>
              </w:rPr>
              <w:t>象</w:t>
            </w:r>
          </w:p>
        </w:tc>
        <w:tc>
          <w:tcPr>
            <w:tcW w:w="2084" w:type="pct"/>
            <w:vAlign w:val="center"/>
          </w:tcPr>
          <w:p>
            <w:pPr>
              <w:spacing w:line="560" w:lineRule="exact"/>
              <w:jc w:val="center"/>
              <w:rPr>
                <w:b/>
              </w:rPr>
            </w:pPr>
            <w:r>
              <w:rPr>
                <w:b/>
              </w:rPr>
              <w:t>违法事实</w:t>
            </w:r>
          </w:p>
        </w:tc>
        <w:tc>
          <w:tcPr>
            <w:tcW w:w="411" w:type="pct"/>
            <w:vAlign w:val="center"/>
          </w:tcPr>
          <w:p>
            <w:pPr>
              <w:spacing w:line="560" w:lineRule="exact"/>
              <w:rPr>
                <w:b/>
              </w:rPr>
            </w:pPr>
            <w:r>
              <w:rPr>
                <w:b/>
              </w:rPr>
              <w:t>处罚依据</w:t>
            </w:r>
          </w:p>
        </w:tc>
        <w:tc>
          <w:tcPr>
            <w:tcW w:w="445" w:type="pct"/>
            <w:vAlign w:val="center"/>
          </w:tcPr>
          <w:p>
            <w:pPr>
              <w:spacing w:line="560" w:lineRule="exact"/>
              <w:rPr>
                <w:b/>
              </w:rPr>
            </w:pPr>
            <w:r>
              <w:rPr>
                <w:b/>
              </w:rPr>
              <w:t>处罚内</w:t>
            </w:r>
            <w:r>
              <w:rPr>
                <w:rFonts w:hint="eastAsia"/>
                <w:b/>
              </w:rPr>
              <w:t xml:space="preserve"> </w:t>
            </w:r>
            <w:r>
              <w:rPr>
                <w:b/>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pct"/>
            <w:vMerge w:val="restart"/>
            <w:vAlign w:val="center"/>
          </w:tcPr>
          <w:p>
            <w:pPr>
              <w:spacing w:line="560" w:lineRule="exact"/>
            </w:pPr>
            <w:r>
              <w:rPr>
                <w:rFonts w:hint="eastAsia"/>
              </w:rPr>
              <w:t>1</w:t>
            </w:r>
          </w:p>
        </w:tc>
        <w:tc>
          <w:tcPr>
            <w:tcW w:w="566" w:type="pct"/>
            <w:vMerge w:val="restart"/>
            <w:vAlign w:val="center"/>
          </w:tcPr>
          <w:p>
            <w:pPr>
              <w:spacing w:line="560" w:lineRule="exact"/>
              <w:jc w:val="center"/>
            </w:pPr>
            <w:r>
              <w:rPr>
                <w:rFonts w:hint="eastAsia"/>
              </w:rPr>
              <w:t>2023年5月1</w:t>
            </w:r>
            <w:r>
              <w:t>6</w:t>
            </w:r>
            <w:r>
              <w:rPr>
                <w:rFonts w:hint="eastAsia"/>
              </w:rPr>
              <w:t>日</w:t>
            </w:r>
          </w:p>
        </w:tc>
        <w:tc>
          <w:tcPr>
            <w:tcW w:w="647" w:type="pct"/>
            <w:vMerge w:val="restart"/>
            <w:vAlign w:val="center"/>
          </w:tcPr>
          <w:p>
            <w:pPr>
              <w:spacing w:line="560" w:lineRule="exact"/>
              <w:jc w:val="center"/>
            </w:pPr>
            <w:r>
              <w:t>国家矿山安全监察局山东局</w:t>
            </w:r>
          </w:p>
        </w:tc>
        <w:tc>
          <w:tcPr>
            <w:tcW w:w="459" w:type="pct"/>
            <w:vMerge w:val="restart"/>
            <w:vAlign w:val="center"/>
          </w:tcPr>
          <w:p>
            <w:pPr>
              <w:spacing w:line="560" w:lineRule="exact"/>
              <w:jc w:val="center"/>
            </w:pPr>
            <w:r>
              <w:rPr>
                <w:rFonts w:hint="eastAsia"/>
              </w:rPr>
              <w:t>山东华宁矿业集团有限公司鑫安煤矿</w:t>
            </w:r>
          </w:p>
        </w:tc>
        <w:tc>
          <w:tcPr>
            <w:tcW w:w="2084" w:type="pct"/>
            <w:vAlign w:val="center"/>
          </w:tcPr>
          <w:p>
            <w:pPr>
              <w:spacing w:line="560" w:lineRule="exact"/>
            </w:pPr>
            <w:r>
              <w:rPr>
                <w:rFonts w:hint="eastAsia"/>
              </w:rPr>
              <w:t>1.-600-2</w:t>
            </w:r>
            <w:r>
              <w:rPr>
                <w:rFonts w:hint="eastAsia"/>
                <w:vertAlign w:val="superscript"/>
              </w:rPr>
              <w:t>#</w:t>
            </w:r>
            <w:r>
              <w:rPr>
                <w:rFonts w:hint="eastAsia"/>
              </w:rPr>
              <w:t>第1道风门墙体压裂、漏风，不符合《煤矿安全规程》第一百五十五条第一款的规定。矿井开采的3煤层具有煤尘爆炸危险，-575m胶带暗斜井联络巷内未安设隔爆设施，不符合《煤矿安全规程》第一百八十六条第一款的规定。3301综放工作面回撤处27</w:t>
            </w:r>
            <w:r>
              <w:rPr>
                <w:rFonts w:hint="eastAsia"/>
                <w:vertAlign w:val="superscript"/>
              </w:rPr>
              <w:t>#</w:t>
            </w:r>
            <w:r>
              <w:rPr>
                <w:rFonts w:hint="eastAsia"/>
              </w:rPr>
              <w:t>与28</w:t>
            </w:r>
            <w:r>
              <w:rPr>
                <w:rFonts w:hint="eastAsia"/>
                <w:vertAlign w:val="superscript"/>
              </w:rPr>
              <w:t>#</w:t>
            </w:r>
            <w:r>
              <w:rPr>
                <w:rFonts w:hint="eastAsia"/>
              </w:rPr>
              <w:t>风筒接头未反压边，有漏风现象，不符合《3301综放工作面撤面作业规程》中“接头进行反压边，无脱节、无破口漏风”的规定。</w:t>
            </w:r>
          </w:p>
        </w:tc>
        <w:tc>
          <w:tcPr>
            <w:tcW w:w="411" w:type="pct"/>
            <w:vAlign w:val="center"/>
          </w:tcPr>
          <w:p>
            <w:pPr>
              <w:spacing w:line="560" w:lineRule="exact"/>
            </w:pPr>
            <w:r>
              <w:rPr>
                <w:rFonts w:hint="eastAsia"/>
              </w:rPr>
              <w:t>《中华人民共和国安全生产法》第一百零二条</w:t>
            </w:r>
          </w:p>
        </w:tc>
        <w:tc>
          <w:tcPr>
            <w:tcW w:w="445" w:type="pct"/>
            <w:vAlign w:val="center"/>
          </w:tcPr>
          <w:p>
            <w:pPr>
              <w:spacing w:line="560" w:lineRule="exact"/>
            </w:pPr>
            <w:r>
              <w:rPr>
                <w:rFonts w:hint="eastAsia"/>
              </w:rPr>
              <w:t>罚款人民币四万五千元整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pct"/>
            <w:vMerge w:val="continue"/>
            <w:vAlign w:val="center"/>
          </w:tcPr>
          <w:p>
            <w:pPr>
              <w:spacing w:line="560" w:lineRule="exact"/>
            </w:pPr>
          </w:p>
        </w:tc>
        <w:tc>
          <w:tcPr>
            <w:tcW w:w="566" w:type="pct"/>
            <w:vMerge w:val="continue"/>
            <w:vAlign w:val="center"/>
          </w:tcPr>
          <w:p>
            <w:pPr>
              <w:spacing w:line="560" w:lineRule="exact"/>
              <w:jc w:val="center"/>
            </w:pPr>
          </w:p>
        </w:tc>
        <w:tc>
          <w:tcPr>
            <w:tcW w:w="647" w:type="pct"/>
            <w:vMerge w:val="continue"/>
            <w:vAlign w:val="center"/>
          </w:tcPr>
          <w:p>
            <w:pPr>
              <w:spacing w:line="560" w:lineRule="exact"/>
              <w:jc w:val="center"/>
            </w:pPr>
          </w:p>
        </w:tc>
        <w:tc>
          <w:tcPr>
            <w:tcW w:w="459" w:type="pct"/>
            <w:vMerge w:val="continue"/>
            <w:vAlign w:val="center"/>
          </w:tcPr>
          <w:p>
            <w:pPr>
              <w:spacing w:line="560" w:lineRule="exact"/>
              <w:jc w:val="center"/>
            </w:pPr>
          </w:p>
        </w:tc>
        <w:tc>
          <w:tcPr>
            <w:tcW w:w="2084" w:type="pct"/>
            <w:vAlign w:val="center"/>
          </w:tcPr>
          <w:p>
            <w:pPr>
              <w:spacing w:line="560" w:lineRule="exact"/>
            </w:pPr>
            <w:r>
              <w:rPr>
                <w:rFonts w:hint="eastAsia"/>
              </w:rPr>
              <w:t>2.4月26日至5月4日中班瓦斯检查工（靳某某）对-575轨道回风巷掘进工作面进行瓦斯巡检，瓦斯检查手册没有班组长签字，不符合《鑫安煤矿瓦斯检查制度》中“瓦斯检查员检查采掘工作地点后，要告知班组长并经班组长在瓦斯检查手册上签字”规定。</w:t>
            </w:r>
          </w:p>
        </w:tc>
        <w:tc>
          <w:tcPr>
            <w:tcW w:w="411" w:type="pct"/>
            <w:vAlign w:val="center"/>
          </w:tcPr>
          <w:p>
            <w:pPr>
              <w:spacing w:line="560" w:lineRule="exact"/>
            </w:pPr>
            <w:r>
              <w:rPr>
                <w:rFonts w:hint="eastAsia"/>
              </w:rPr>
              <w:t>《中华人民共和国矿山安全法实施条例》第五十四条</w:t>
            </w:r>
          </w:p>
        </w:tc>
        <w:tc>
          <w:tcPr>
            <w:tcW w:w="445" w:type="pct"/>
            <w:vAlign w:val="center"/>
          </w:tcPr>
          <w:p>
            <w:pPr>
              <w:spacing w:line="560" w:lineRule="exact"/>
            </w:pPr>
            <w:r>
              <w:rPr>
                <w:rFonts w:hint="eastAsia"/>
              </w:rPr>
              <w:t>罚款人民币一万元整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pct"/>
            <w:vMerge w:val="continue"/>
            <w:vAlign w:val="center"/>
          </w:tcPr>
          <w:p>
            <w:pPr>
              <w:spacing w:line="560" w:lineRule="exact"/>
            </w:pPr>
          </w:p>
        </w:tc>
        <w:tc>
          <w:tcPr>
            <w:tcW w:w="566" w:type="pct"/>
            <w:vMerge w:val="continue"/>
            <w:vAlign w:val="center"/>
          </w:tcPr>
          <w:p>
            <w:pPr>
              <w:spacing w:line="560" w:lineRule="exact"/>
              <w:jc w:val="center"/>
            </w:pPr>
          </w:p>
        </w:tc>
        <w:tc>
          <w:tcPr>
            <w:tcW w:w="647" w:type="pct"/>
            <w:vMerge w:val="continue"/>
            <w:vAlign w:val="center"/>
          </w:tcPr>
          <w:p>
            <w:pPr>
              <w:spacing w:line="560" w:lineRule="exact"/>
              <w:jc w:val="center"/>
            </w:pPr>
          </w:p>
        </w:tc>
        <w:tc>
          <w:tcPr>
            <w:tcW w:w="459" w:type="pct"/>
            <w:vMerge w:val="continue"/>
            <w:vAlign w:val="center"/>
          </w:tcPr>
          <w:p>
            <w:pPr>
              <w:spacing w:line="560" w:lineRule="exact"/>
              <w:jc w:val="center"/>
            </w:pPr>
          </w:p>
        </w:tc>
        <w:tc>
          <w:tcPr>
            <w:tcW w:w="2084" w:type="pct"/>
            <w:vAlign w:val="center"/>
          </w:tcPr>
          <w:p>
            <w:pPr>
              <w:spacing w:line="560" w:lineRule="exact"/>
            </w:pPr>
            <w:r>
              <w:rPr>
                <w:rFonts w:hint="eastAsia"/>
              </w:rPr>
              <w:t>3.查询矿井5月2日测风旬报表、安全监控日报表，矿井北翼总回风巷测风站平均风速为3.78m/s，安装在此处的风速传感器显示平均风速为2.49m/s，误差大，未及时采用标定的风速计对风速传感器标校，不符合《煤矿安全监控系统及检测仪器使用管理规范》（AQ1029-2019）8.3.4规定。-600m水平北翼进风巷风机配电点一台馈电开关（编号K2-4）过流整定400A、速断整定3200A，该配电点配电系统图显示该台开关过流整定390A、速断整定1950A，未定期检查维修，不符合《煤矿安全规程》第四条第五款的规定。3301综放工作面集控站处一台馈电开关（编号K2-48）实际总负荷为233.8kW，额定电压为660V，现场检查时该开关按照负荷264kW，额定电压1140V进行保护整定，负荷和额定电压发生变化后未及时对保护整定进行检查和调整，不符合《煤矿安全规程》第四百八十三条第一款的规定。</w:t>
            </w:r>
          </w:p>
        </w:tc>
        <w:tc>
          <w:tcPr>
            <w:tcW w:w="411" w:type="pct"/>
            <w:vAlign w:val="center"/>
          </w:tcPr>
          <w:p>
            <w:pPr>
              <w:spacing w:line="560" w:lineRule="exact"/>
            </w:pPr>
            <w:r>
              <w:rPr>
                <w:rFonts w:hint="eastAsia"/>
              </w:rPr>
              <w:t>《中华人民共和国安全生产法》第九十九条第三项</w:t>
            </w:r>
          </w:p>
        </w:tc>
        <w:tc>
          <w:tcPr>
            <w:tcW w:w="445" w:type="pct"/>
            <w:vAlign w:val="center"/>
          </w:tcPr>
          <w:p>
            <w:pPr>
              <w:spacing w:line="560" w:lineRule="exact"/>
            </w:pPr>
            <w:r>
              <w:rPr>
                <w:rFonts w:hint="eastAsia"/>
              </w:rPr>
              <w:t>罚款人民币四万五千元整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pct"/>
            <w:vMerge w:val="continue"/>
            <w:vAlign w:val="center"/>
          </w:tcPr>
          <w:p>
            <w:pPr>
              <w:spacing w:line="560" w:lineRule="exact"/>
            </w:pPr>
          </w:p>
        </w:tc>
        <w:tc>
          <w:tcPr>
            <w:tcW w:w="566" w:type="pct"/>
            <w:vMerge w:val="continue"/>
            <w:vAlign w:val="center"/>
          </w:tcPr>
          <w:p>
            <w:pPr>
              <w:spacing w:line="560" w:lineRule="exact"/>
            </w:pPr>
          </w:p>
        </w:tc>
        <w:tc>
          <w:tcPr>
            <w:tcW w:w="647" w:type="pct"/>
            <w:vMerge w:val="continue"/>
            <w:vAlign w:val="center"/>
          </w:tcPr>
          <w:p>
            <w:pPr>
              <w:spacing w:line="560" w:lineRule="exact"/>
              <w:jc w:val="center"/>
            </w:pPr>
          </w:p>
        </w:tc>
        <w:tc>
          <w:tcPr>
            <w:tcW w:w="459" w:type="pct"/>
            <w:vMerge w:val="continue"/>
            <w:vAlign w:val="center"/>
          </w:tcPr>
          <w:p>
            <w:pPr>
              <w:spacing w:line="560" w:lineRule="exact"/>
              <w:jc w:val="center"/>
            </w:pPr>
          </w:p>
        </w:tc>
        <w:tc>
          <w:tcPr>
            <w:tcW w:w="2084" w:type="pct"/>
            <w:vAlign w:val="center"/>
          </w:tcPr>
          <w:p>
            <w:pPr>
              <w:spacing w:line="560" w:lineRule="exact"/>
            </w:pPr>
            <w:r>
              <w:t>4.-380m胶带暗斜井（总回风巷）风速传感器未安设在测风站内，不符合《煤矿安全规程》第五百零三条第一款的规定。现场测试发现-575m胶带暗斜井车场联络巷机电设备前设置的甲烷传感器在超限断电等立即需要撤人的紧急情况下，不能自动与应急广播、通讯、人员位置监测等系统应急联动，不符合《煤矿安全监控系统及检测仪器使用管理规范》（AQ1029-2019）4.10的规定。-600m水平北翼回风巷掘进工作面第一部皮带与强力皮带搭接处设置的堆煤保护装置距离落煤堆煤处距离过大，未在落煤点正上方，不符合《中华人民共和国安全生产法》第三十六条第一款的规定。</w:t>
            </w:r>
          </w:p>
        </w:tc>
        <w:tc>
          <w:tcPr>
            <w:tcW w:w="411" w:type="pct"/>
            <w:vAlign w:val="center"/>
          </w:tcPr>
          <w:p>
            <w:pPr>
              <w:spacing w:line="560" w:lineRule="exact"/>
            </w:pPr>
            <w:r>
              <w:rPr>
                <w:rFonts w:hint="eastAsia"/>
              </w:rPr>
              <w:t>《中华人民共和国安全生产法》第九十九条第二项</w:t>
            </w:r>
          </w:p>
        </w:tc>
        <w:tc>
          <w:tcPr>
            <w:tcW w:w="445" w:type="pct"/>
            <w:vAlign w:val="center"/>
          </w:tcPr>
          <w:p>
            <w:pPr>
              <w:spacing w:line="560" w:lineRule="exact"/>
            </w:pPr>
            <w:r>
              <w:rPr>
                <w:rFonts w:hint="eastAsia"/>
              </w:rPr>
              <w:t>罚款人民币四万五千元整</w:t>
            </w:r>
          </w:p>
        </w:tc>
      </w:tr>
    </w:tbl>
    <w:p>
      <w:pPr>
        <w:spacing w:line="600" w:lineRule="exact"/>
        <w:rPr>
          <w:rFonts w:hint="eastAsia" w:ascii="方正小标宋简体" w:eastAsia="方正小标宋简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3YjQ5MjVmZmI1NjdiOWVlZTZkZTkyMTZjMDRlMTcifQ=="/>
  </w:docVars>
  <w:rsids>
    <w:rsidRoot w:val="009A28AA"/>
    <w:rsid w:val="00155351"/>
    <w:rsid w:val="001D70D3"/>
    <w:rsid w:val="003333C6"/>
    <w:rsid w:val="003853E2"/>
    <w:rsid w:val="003C62C9"/>
    <w:rsid w:val="00457E3B"/>
    <w:rsid w:val="009A28AA"/>
    <w:rsid w:val="00CF7B4F"/>
    <w:rsid w:val="00D806A3"/>
    <w:rsid w:val="00F60CD3"/>
    <w:rsid w:val="01D152A8"/>
    <w:rsid w:val="01F83B55"/>
    <w:rsid w:val="03036426"/>
    <w:rsid w:val="03654397"/>
    <w:rsid w:val="03AD60B9"/>
    <w:rsid w:val="03B66504"/>
    <w:rsid w:val="05F81055"/>
    <w:rsid w:val="0617661D"/>
    <w:rsid w:val="0619136B"/>
    <w:rsid w:val="072E0AA7"/>
    <w:rsid w:val="075C3866"/>
    <w:rsid w:val="08220948"/>
    <w:rsid w:val="089C0A29"/>
    <w:rsid w:val="08BC4C51"/>
    <w:rsid w:val="099C263F"/>
    <w:rsid w:val="09CB6A81"/>
    <w:rsid w:val="09EB7F0E"/>
    <w:rsid w:val="0A1C398A"/>
    <w:rsid w:val="0B377B1A"/>
    <w:rsid w:val="0B3A5555"/>
    <w:rsid w:val="0B662F05"/>
    <w:rsid w:val="0C65177C"/>
    <w:rsid w:val="0C715264"/>
    <w:rsid w:val="0D8F1A83"/>
    <w:rsid w:val="0DA7768B"/>
    <w:rsid w:val="0E23171A"/>
    <w:rsid w:val="0E322250"/>
    <w:rsid w:val="0E963B01"/>
    <w:rsid w:val="0F4F39DF"/>
    <w:rsid w:val="0FCB1DB3"/>
    <w:rsid w:val="11162CD7"/>
    <w:rsid w:val="11282449"/>
    <w:rsid w:val="121F5BBC"/>
    <w:rsid w:val="122D652B"/>
    <w:rsid w:val="12661A3D"/>
    <w:rsid w:val="12937868"/>
    <w:rsid w:val="12B93531"/>
    <w:rsid w:val="12F41711"/>
    <w:rsid w:val="132A1F4C"/>
    <w:rsid w:val="140429BF"/>
    <w:rsid w:val="140B289C"/>
    <w:rsid w:val="143E6183"/>
    <w:rsid w:val="152C18E6"/>
    <w:rsid w:val="1565422D"/>
    <w:rsid w:val="15B96261"/>
    <w:rsid w:val="15F5110D"/>
    <w:rsid w:val="17343EB7"/>
    <w:rsid w:val="178305A9"/>
    <w:rsid w:val="17872239"/>
    <w:rsid w:val="17E27696"/>
    <w:rsid w:val="18471422"/>
    <w:rsid w:val="19B8135C"/>
    <w:rsid w:val="19D144D1"/>
    <w:rsid w:val="19E27BFB"/>
    <w:rsid w:val="1A50725A"/>
    <w:rsid w:val="1A7121C7"/>
    <w:rsid w:val="1B3C77DE"/>
    <w:rsid w:val="1BA209B1"/>
    <w:rsid w:val="1BA5332B"/>
    <w:rsid w:val="1BDA716C"/>
    <w:rsid w:val="1BFD6A69"/>
    <w:rsid w:val="1CE420E4"/>
    <w:rsid w:val="1D793798"/>
    <w:rsid w:val="1E3F4E33"/>
    <w:rsid w:val="1E71154D"/>
    <w:rsid w:val="1E7A2AF8"/>
    <w:rsid w:val="1FFB1A16"/>
    <w:rsid w:val="20DF30E6"/>
    <w:rsid w:val="21803E7A"/>
    <w:rsid w:val="2186630B"/>
    <w:rsid w:val="219C0FD7"/>
    <w:rsid w:val="21D41D44"/>
    <w:rsid w:val="21D70261"/>
    <w:rsid w:val="221A1EFC"/>
    <w:rsid w:val="22CD4B58"/>
    <w:rsid w:val="23616034"/>
    <w:rsid w:val="23D948B6"/>
    <w:rsid w:val="25302162"/>
    <w:rsid w:val="25D36F91"/>
    <w:rsid w:val="26D340DF"/>
    <w:rsid w:val="26F53A8B"/>
    <w:rsid w:val="279A3435"/>
    <w:rsid w:val="28033B5E"/>
    <w:rsid w:val="281718E3"/>
    <w:rsid w:val="28506677"/>
    <w:rsid w:val="29293A4D"/>
    <w:rsid w:val="29965E75"/>
    <w:rsid w:val="29B36EBE"/>
    <w:rsid w:val="2A77438F"/>
    <w:rsid w:val="2B6F150A"/>
    <w:rsid w:val="2BA83B90"/>
    <w:rsid w:val="2C2B1DDC"/>
    <w:rsid w:val="2C2E1416"/>
    <w:rsid w:val="2CF12341"/>
    <w:rsid w:val="2CF244C8"/>
    <w:rsid w:val="2D6D3827"/>
    <w:rsid w:val="2D964B2C"/>
    <w:rsid w:val="2DB21A0B"/>
    <w:rsid w:val="2E40405C"/>
    <w:rsid w:val="2E9D17F4"/>
    <w:rsid w:val="2EDD1D3F"/>
    <w:rsid w:val="2EFE7BEE"/>
    <w:rsid w:val="2F437393"/>
    <w:rsid w:val="2F551F1B"/>
    <w:rsid w:val="3015111F"/>
    <w:rsid w:val="30843362"/>
    <w:rsid w:val="30E262DA"/>
    <w:rsid w:val="3118662D"/>
    <w:rsid w:val="314C21F0"/>
    <w:rsid w:val="31602E69"/>
    <w:rsid w:val="316B2774"/>
    <w:rsid w:val="31A812D2"/>
    <w:rsid w:val="32537490"/>
    <w:rsid w:val="325B6344"/>
    <w:rsid w:val="326E6078"/>
    <w:rsid w:val="335632A8"/>
    <w:rsid w:val="33843679"/>
    <w:rsid w:val="34FF38FF"/>
    <w:rsid w:val="35242D43"/>
    <w:rsid w:val="36E14EFD"/>
    <w:rsid w:val="37184804"/>
    <w:rsid w:val="37490E61"/>
    <w:rsid w:val="38244B3F"/>
    <w:rsid w:val="38B2060F"/>
    <w:rsid w:val="38EF3C8A"/>
    <w:rsid w:val="39170469"/>
    <w:rsid w:val="39475874"/>
    <w:rsid w:val="394F3EB2"/>
    <w:rsid w:val="39553A04"/>
    <w:rsid w:val="39CC1FD4"/>
    <w:rsid w:val="39FA611B"/>
    <w:rsid w:val="3A2D05C6"/>
    <w:rsid w:val="3B6B0E15"/>
    <w:rsid w:val="3CB65536"/>
    <w:rsid w:val="3D94517E"/>
    <w:rsid w:val="3E073E62"/>
    <w:rsid w:val="3E883138"/>
    <w:rsid w:val="3E9230EE"/>
    <w:rsid w:val="3ECE683E"/>
    <w:rsid w:val="3F5E7474"/>
    <w:rsid w:val="3F6921D3"/>
    <w:rsid w:val="3F984734"/>
    <w:rsid w:val="40302BBE"/>
    <w:rsid w:val="40CA6929"/>
    <w:rsid w:val="41990C37"/>
    <w:rsid w:val="419929E5"/>
    <w:rsid w:val="4217001E"/>
    <w:rsid w:val="42925DB2"/>
    <w:rsid w:val="42A536C4"/>
    <w:rsid w:val="43601655"/>
    <w:rsid w:val="43C130B9"/>
    <w:rsid w:val="44366D09"/>
    <w:rsid w:val="44466E54"/>
    <w:rsid w:val="45515F3F"/>
    <w:rsid w:val="456A4A37"/>
    <w:rsid w:val="45DD69B0"/>
    <w:rsid w:val="46054AED"/>
    <w:rsid w:val="46875991"/>
    <w:rsid w:val="468D1068"/>
    <w:rsid w:val="46CB3447"/>
    <w:rsid w:val="46DF2797"/>
    <w:rsid w:val="47181CE2"/>
    <w:rsid w:val="476F63D8"/>
    <w:rsid w:val="47CF0F0F"/>
    <w:rsid w:val="48381E5A"/>
    <w:rsid w:val="492D0E0D"/>
    <w:rsid w:val="499915E6"/>
    <w:rsid w:val="49A81A17"/>
    <w:rsid w:val="49D929E2"/>
    <w:rsid w:val="4AE50399"/>
    <w:rsid w:val="4C2D77DD"/>
    <w:rsid w:val="4C5313C2"/>
    <w:rsid w:val="4C681932"/>
    <w:rsid w:val="4D01546D"/>
    <w:rsid w:val="4D2F51C9"/>
    <w:rsid w:val="4D7D140D"/>
    <w:rsid w:val="4E8F102E"/>
    <w:rsid w:val="4EAC01FC"/>
    <w:rsid w:val="4F135B85"/>
    <w:rsid w:val="4F8B0F82"/>
    <w:rsid w:val="4FE17A31"/>
    <w:rsid w:val="50D91050"/>
    <w:rsid w:val="51B52B9B"/>
    <w:rsid w:val="528B0128"/>
    <w:rsid w:val="54136627"/>
    <w:rsid w:val="544669FD"/>
    <w:rsid w:val="546D21DB"/>
    <w:rsid w:val="54E67898"/>
    <w:rsid w:val="55320D2F"/>
    <w:rsid w:val="55AA4A4A"/>
    <w:rsid w:val="55C951EF"/>
    <w:rsid w:val="56310FE7"/>
    <w:rsid w:val="56794E67"/>
    <w:rsid w:val="568B0618"/>
    <w:rsid w:val="56D43FF9"/>
    <w:rsid w:val="56FA41F7"/>
    <w:rsid w:val="59684127"/>
    <w:rsid w:val="597723F1"/>
    <w:rsid w:val="5B4571D1"/>
    <w:rsid w:val="5B767BC7"/>
    <w:rsid w:val="5BA32AEB"/>
    <w:rsid w:val="5BE72873"/>
    <w:rsid w:val="5BFC5F8B"/>
    <w:rsid w:val="5C0F12B5"/>
    <w:rsid w:val="5C1D44E7"/>
    <w:rsid w:val="5C4C66A6"/>
    <w:rsid w:val="5C9E6ABB"/>
    <w:rsid w:val="5D5E0913"/>
    <w:rsid w:val="5D97798C"/>
    <w:rsid w:val="5E172F41"/>
    <w:rsid w:val="5E2E29DB"/>
    <w:rsid w:val="5E8F46B0"/>
    <w:rsid w:val="5F4D571A"/>
    <w:rsid w:val="60624BBE"/>
    <w:rsid w:val="60870E00"/>
    <w:rsid w:val="60BB0678"/>
    <w:rsid w:val="61031D41"/>
    <w:rsid w:val="61113EEE"/>
    <w:rsid w:val="617701F5"/>
    <w:rsid w:val="61D62B6D"/>
    <w:rsid w:val="62724F75"/>
    <w:rsid w:val="62BB43D3"/>
    <w:rsid w:val="635051A2"/>
    <w:rsid w:val="641A755E"/>
    <w:rsid w:val="653852D2"/>
    <w:rsid w:val="654B2228"/>
    <w:rsid w:val="65C43C25"/>
    <w:rsid w:val="665B2747"/>
    <w:rsid w:val="66686AE0"/>
    <w:rsid w:val="66BA1D15"/>
    <w:rsid w:val="676E3E49"/>
    <w:rsid w:val="681731B9"/>
    <w:rsid w:val="689F6470"/>
    <w:rsid w:val="68B41D2F"/>
    <w:rsid w:val="68E00D76"/>
    <w:rsid w:val="69C73CE4"/>
    <w:rsid w:val="69DA7573"/>
    <w:rsid w:val="6A402F3C"/>
    <w:rsid w:val="6A837922"/>
    <w:rsid w:val="6ABC77E1"/>
    <w:rsid w:val="6B425E76"/>
    <w:rsid w:val="6D163C1A"/>
    <w:rsid w:val="6D7B106D"/>
    <w:rsid w:val="6E031818"/>
    <w:rsid w:val="6E183B15"/>
    <w:rsid w:val="6F4B53AA"/>
    <w:rsid w:val="71240910"/>
    <w:rsid w:val="71542301"/>
    <w:rsid w:val="71936316"/>
    <w:rsid w:val="71E663AE"/>
    <w:rsid w:val="72435ED2"/>
    <w:rsid w:val="72832485"/>
    <w:rsid w:val="73264D59"/>
    <w:rsid w:val="73692834"/>
    <w:rsid w:val="73927235"/>
    <w:rsid w:val="73975487"/>
    <w:rsid w:val="73AF43FE"/>
    <w:rsid w:val="744F588B"/>
    <w:rsid w:val="74E92D60"/>
    <w:rsid w:val="750F16EE"/>
    <w:rsid w:val="75D51537"/>
    <w:rsid w:val="76742AFE"/>
    <w:rsid w:val="76973541"/>
    <w:rsid w:val="76A827A7"/>
    <w:rsid w:val="7718792D"/>
    <w:rsid w:val="77DD3ED1"/>
    <w:rsid w:val="77F52486"/>
    <w:rsid w:val="78006D3F"/>
    <w:rsid w:val="7899612E"/>
    <w:rsid w:val="78F16E2C"/>
    <w:rsid w:val="79295E21"/>
    <w:rsid w:val="79EA1C25"/>
    <w:rsid w:val="7A1B5499"/>
    <w:rsid w:val="7AB60E4E"/>
    <w:rsid w:val="7AD04722"/>
    <w:rsid w:val="7B0A0BE8"/>
    <w:rsid w:val="7BBE3A2C"/>
    <w:rsid w:val="7BC3200F"/>
    <w:rsid w:val="7BE46176"/>
    <w:rsid w:val="7C607CAF"/>
    <w:rsid w:val="7CAD7638"/>
    <w:rsid w:val="7D1F7C67"/>
    <w:rsid w:val="7D6C2781"/>
    <w:rsid w:val="7E2766A8"/>
    <w:rsid w:val="7F3D2B0E"/>
    <w:rsid w:val="7F500121"/>
    <w:rsid w:val="7FB014E1"/>
    <w:rsid w:val="7FB421BD"/>
    <w:rsid w:val="7FCC1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sdmj</Company>
  <Pages>4</Pages>
  <Words>1190</Words>
  <Characters>1341</Characters>
  <Lines>10</Lines>
  <Paragraphs>2</Paragraphs>
  <TotalTime>3</TotalTime>
  <ScaleCrop>false</ScaleCrop>
  <LinksUpToDate>false</LinksUpToDate>
  <CharactersWithSpaces>1376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2022-05-19T06:29:00Z</dcterms:created>
  <dc:creator>闵峰</dc:creator>
  <cp:lastModifiedBy>李澎</cp:lastModifiedBy>
  <dcterms:modified xsi:type="dcterms:W3CDTF">2023-05-20T02:57:13Z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35779084BF844A67B836188ED9C349F9</vt:lpwstr>
  </property>
</Properties>
</file>