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07" w:rsidRPr="00AE14F4" w:rsidRDefault="00534607" w:rsidP="00534607">
      <w:pPr>
        <w:pStyle w:val="4"/>
        <w:spacing w:line="560" w:lineRule="exact"/>
        <w:ind w:firstLineChars="0" w:firstLine="0"/>
        <w:rPr>
          <w:rFonts w:ascii="黑体" w:eastAsia="黑体" w:hAnsi="黑体" w:cs="仿宋_GB2312"/>
        </w:rPr>
      </w:pPr>
      <w:r w:rsidRPr="00AE14F4">
        <w:rPr>
          <w:rFonts w:ascii="黑体" w:eastAsia="黑体" w:hAnsi="黑体" w:cs="仿宋_GB2312" w:hint="eastAsia"/>
        </w:rPr>
        <w:t>附件</w:t>
      </w:r>
    </w:p>
    <w:p w:rsidR="00534607" w:rsidRPr="000D46E1" w:rsidRDefault="00534607" w:rsidP="00534607">
      <w:pPr>
        <w:pStyle w:val="4"/>
        <w:spacing w:line="560" w:lineRule="exact"/>
        <w:ind w:firstLine="640"/>
        <w:rPr>
          <w:rFonts w:ascii="仿宋_GB2312" w:hAnsi="仿宋" w:cs="仿宋_GB2312"/>
        </w:rPr>
      </w:pPr>
      <w:r w:rsidRPr="000D46E1">
        <w:rPr>
          <w:rFonts w:ascii="仿宋_GB2312" w:hAnsi="仿宋" w:cs="仿宋_GB2312" w:hint="eastAsia"/>
        </w:rPr>
        <w:t xml:space="preserve">    </w:t>
      </w:r>
    </w:p>
    <w:p w:rsidR="00534607" w:rsidRPr="000D46E1" w:rsidRDefault="00534607" w:rsidP="00534607">
      <w:pPr>
        <w:pStyle w:val="4"/>
        <w:spacing w:line="560" w:lineRule="exact"/>
        <w:ind w:firstLineChars="0" w:firstLine="0"/>
        <w:jc w:val="center"/>
        <w:rPr>
          <w:rFonts w:ascii="方正小标宋简体" w:eastAsia="方正小标宋简体" w:hAnsi="仿宋" w:cs="仿宋_GB2312"/>
          <w:sz w:val="36"/>
          <w:szCs w:val="36"/>
        </w:rPr>
      </w:pPr>
      <w:bookmarkStart w:id="0" w:name="_GoBack"/>
      <w:r>
        <w:rPr>
          <w:rFonts w:ascii="方正小标宋简体" w:eastAsia="方正小标宋简体" w:hAnsi="仿宋" w:cs="仿宋_GB2312" w:hint="eastAsia"/>
          <w:sz w:val="36"/>
          <w:szCs w:val="36"/>
        </w:rPr>
        <w:t>第二专项工作组202</w:t>
      </w:r>
      <w:r>
        <w:rPr>
          <w:rFonts w:ascii="方正小标宋简体" w:eastAsia="方正小标宋简体" w:hAnsi="仿宋" w:cs="仿宋_GB2312"/>
          <w:sz w:val="36"/>
          <w:szCs w:val="36"/>
        </w:rPr>
        <w:t>3</w:t>
      </w:r>
      <w:r>
        <w:rPr>
          <w:rFonts w:ascii="方正小标宋简体" w:eastAsia="方正小标宋简体" w:hAnsi="仿宋" w:cs="仿宋_GB2312" w:hint="eastAsia"/>
          <w:sz w:val="36"/>
          <w:szCs w:val="36"/>
        </w:rPr>
        <w:t>年第</w:t>
      </w:r>
      <w:r>
        <w:rPr>
          <w:rFonts w:ascii="方正小标宋简体" w:eastAsia="方正小标宋简体" w:hAnsi="仿宋" w:cs="仿宋_GB2312"/>
          <w:sz w:val="36"/>
          <w:szCs w:val="36"/>
        </w:rPr>
        <w:t>6</w:t>
      </w:r>
      <w:r>
        <w:rPr>
          <w:rFonts w:ascii="方正小标宋简体" w:eastAsia="方正小标宋简体" w:hAnsi="仿宋" w:cs="仿宋_GB2312" w:hint="eastAsia"/>
          <w:sz w:val="36"/>
          <w:szCs w:val="36"/>
        </w:rPr>
        <w:t>批</w:t>
      </w:r>
      <w:r w:rsidRPr="000D46E1">
        <w:rPr>
          <w:rFonts w:ascii="方正小标宋简体" w:eastAsia="方正小标宋简体" w:hAnsi="仿宋" w:cs="仿宋_GB2312" w:hint="eastAsia"/>
          <w:sz w:val="36"/>
          <w:szCs w:val="36"/>
        </w:rPr>
        <w:t>行政</w:t>
      </w:r>
      <w:r>
        <w:rPr>
          <w:rFonts w:ascii="方正小标宋简体" w:eastAsia="方正小标宋简体" w:hAnsi="仿宋" w:cs="仿宋_GB2312" w:hint="eastAsia"/>
          <w:sz w:val="36"/>
          <w:szCs w:val="36"/>
        </w:rPr>
        <w:t>处罚</w:t>
      </w:r>
      <w:r w:rsidRPr="000D46E1">
        <w:rPr>
          <w:rFonts w:ascii="方正小标宋简体" w:eastAsia="方正小标宋简体" w:hAnsi="仿宋" w:cs="仿宋_GB2312" w:hint="eastAsia"/>
          <w:sz w:val="36"/>
          <w:szCs w:val="36"/>
        </w:rPr>
        <w:t>信息公开表</w:t>
      </w:r>
    </w:p>
    <w:bookmarkEnd w:id="0"/>
    <w:p w:rsidR="00534607" w:rsidRPr="000D46E1" w:rsidRDefault="00534607" w:rsidP="00534607">
      <w:pPr>
        <w:pStyle w:val="4"/>
        <w:spacing w:line="560" w:lineRule="exact"/>
        <w:ind w:firstLineChars="396" w:firstLine="1267"/>
        <w:rPr>
          <w:rFonts w:ascii="楷体" w:eastAsia="楷体" w:hAnsi="楷体"/>
        </w:rPr>
      </w:pPr>
    </w:p>
    <w:tbl>
      <w:tblPr>
        <w:tblW w:w="12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05"/>
        <w:gridCol w:w="1303"/>
        <w:gridCol w:w="1249"/>
        <w:gridCol w:w="5670"/>
        <w:gridCol w:w="1232"/>
        <w:gridCol w:w="1282"/>
      </w:tblGrid>
      <w:tr w:rsidR="00534607" w:rsidRPr="00FB002B" w:rsidTr="003E454B">
        <w:trPr>
          <w:jc w:val="center"/>
        </w:trPr>
        <w:tc>
          <w:tcPr>
            <w:tcW w:w="704"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sidRPr="00FB002B">
              <w:rPr>
                <w:rFonts w:ascii="黑体" w:eastAsia="黑体" w:hAnsi="黑体" w:hint="eastAsia"/>
                <w:b/>
                <w:sz w:val="24"/>
              </w:rPr>
              <w:t>序号</w:t>
            </w:r>
          </w:p>
        </w:tc>
        <w:tc>
          <w:tcPr>
            <w:tcW w:w="1105"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sidRPr="00FB002B">
              <w:rPr>
                <w:rFonts w:ascii="黑体" w:eastAsia="黑体" w:hAnsi="黑体" w:hint="eastAsia"/>
                <w:b/>
                <w:sz w:val="24"/>
              </w:rPr>
              <w:t>执法决定日期</w:t>
            </w:r>
          </w:p>
        </w:tc>
        <w:tc>
          <w:tcPr>
            <w:tcW w:w="1303"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sidRPr="00FB002B">
              <w:rPr>
                <w:rFonts w:ascii="黑体" w:eastAsia="黑体" w:hAnsi="黑体" w:hint="eastAsia"/>
                <w:b/>
                <w:sz w:val="24"/>
              </w:rPr>
              <w:t>执法主体</w:t>
            </w:r>
          </w:p>
        </w:tc>
        <w:tc>
          <w:tcPr>
            <w:tcW w:w="1249"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sidRPr="00FB002B">
              <w:rPr>
                <w:rFonts w:ascii="黑体" w:eastAsia="黑体" w:hAnsi="黑体" w:hint="eastAsia"/>
                <w:b/>
                <w:sz w:val="24"/>
              </w:rPr>
              <w:t>执法</w:t>
            </w:r>
            <w:r>
              <w:rPr>
                <w:rFonts w:ascii="黑体" w:eastAsia="黑体" w:hAnsi="黑体" w:hint="eastAsia"/>
                <w:b/>
                <w:sz w:val="24"/>
              </w:rPr>
              <w:t>对象</w:t>
            </w:r>
          </w:p>
        </w:tc>
        <w:tc>
          <w:tcPr>
            <w:tcW w:w="5670"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sidRPr="00FB002B">
              <w:rPr>
                <w:rFonts w:ascii="黑体" w:eastAsia="黑体" w:hAnsi="黑体" w:hint="eastAsia"/>
                <w:b/>
                <w:sz w:val="24"/>
              </w:rPr>
              <w:t>违法违规事实</w:t>
            </w:r>
          </w:p>
        </w:tc>
        <w:tc>
          <w:tcPr>
            <w:tcW w:w="1232"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Pr>
                <w:rFonts w:ascii="黑体" w:eastAsia="黑体" w:hAnsi="黑体" w:hint="eastAsia"/>
                <w:b/>
                <w:sz w:val="24"/>
              </w:rPr>
              <w:t>处罚</w:t>
            </w:r>
            <w:r w:rsidRPr="00FB002B">
              <w:rPr>
                <w:rFonts w:ascii="黑体" w:eastAsia="黑体" w:hAnsi="黑体" w:hint="eastAsia"/>
                <w:b/>
                <w:sz w:val="24"/>
              </w:rPr>
              <w:t>依据</w:t>
            </w:r>
          </w:p>
        </w:tc>
        <w:tc>
          <w:tcPr>
            <w:tcW w:w="1282" w:type="dxa"/>
            <w:shd w:val="clear" w:color="auto" w:fill="auto"/>
            <w:vAlign w:val="center"/>
          </w:tcPr>
          <w:p w:rsidR="00534607" w:rsidRPr="00FB002B" w:rsidRDefault="00534607" w:rsidP="003E454B">
            <w:pPr>
              <w:spacing w:line="380" w:lineRule="exact"/>
              <w:jc w:val="center"/>
              <w:rPr>
                <w:rFonts w:ascii="黑体" w:eastAsia="黑体" w:hAnsi="黑体"/>
                <w:b/>
                <w:sz w:val="24"/>
              </w:rPr>
            </w:pPr>
            <w:r>
              <w:rPr>
                <w:rFonts w:ascii="黑体" w:eastAsia="黑体" w:hAnsi="黑体" w:hint="eastAsia"/>
                <w:b/>
                <w:sz w:val="24"/>
              </w:rPr>
              <w:t>处罚</w:t>
            </w:r>
            <w:r w:rsidRPr="00FB002B">
              <w:rPr>
                <w:rFonts w:ascii="黑体" w:eastAsia="黑体" w:hAnsi="黑体" w:hint="eastAsia"/>
                <w:b/>
                <w:sz w:val="24"/>
              </w:rPr>
              <w:t>内容</w:t>
            </w:r>
          </w:p>
        </w:tc>
      </w:tr>
      <w:tr w:rsidR="00534607" w:rsidRPr="006B6B49" w:rsidTr="003E454B">
        <w:trPr>
          <w:jc w:val="center"/>
        </w:trPr>
        <w:tc>
          <w:tcPr>
            <w:tcW w:w="704" w:type="dxa"/>
            <w:shd w:val="clear" w:color="auto" w:fill="auto"/>
            <w:vAlign w:val="center"/>
          </w:tcPr>
          <w:p w:rsidR="00534607" w:rsidRDefault="00534607" w:rsidP="003E454B">
            <w:pPr>
              <w:adjustRightInd w:val="0"/>
              <w:snapToGrid w:val="0"/>
              <w:jc w:val="center"/>
              <w:rPr>
                <w:rFonts w:ascii="仿宋_GB2312" w:hAnsi="宋体"/>
                <w:sz w:val="24"/>
              </w:rPr>
            </w:pPr>
            <w:r>
              <w:rPr>
                <w:rFonts w:ascii="仿宋_GB2312" w:hAnsi="宋体"/>
                <w:sz w:val="24"/>
              </w:rPr>
              <w:t>1</w:t>
            </w:r>
          </w:p>
        </w:tc>
        <w:tc>
          <w:tcPr>
            <w:tcW w:w="1105"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hint="eastAsia"/>
                <w:sz w:val="24"/>
              </w:rPr>
              <w:t>202</w:t>
            </w:r>
            <w:r>
              <w:rPr>
                <w:rFonts w:ascii="仿宋_GB2312" w:hAnsi="宋体"/>
                <w:sz w:val="24"/>
              </w:rPr>
              <w:t>3</w:t>
            </w:r>
            <w:r>
              <w:rPr>
                <w:rFonts w:ascii="仿宋_GB2312" w:hAnsi="宋体" w:hint="eastAsia"/>
                <w:sz w:val="24"/>
              </w:rPr>
              <w:t>年</w:t>
            </w:r>
            <w:r>
              <w:rPr>
                <w:rFonts w:ascii="仿宋_GB2312" w:hAnsi="宋体"/>
                <w:sz w:val="24"/>
              </w:rPr>
              <w:t>5</w:t>
            </w:r>
            <w:r>
              <w:rPr>
                <w:rFonts w:ascii="仿宋_GB2312" w:hAnsi="宋体" w:hint="eastAsia"/>
                <w:sz w:val="24"/>
              </w:rPr>
              <w:t>月</w:t>
            </w:r>
            <w:r>
              <w:rPr>
                <w:rFonts w:ascii="仿宋_GB2312" w:hAnsi="宋体"/>
                <w:sz w:val="24"/>
              </w:rPr>
              <w:t>15</w:t>
            </w:r>
            <w:r>
              <w:rPr>
                <w:rFonts w:ascii="仿宋_GB2312" w:hAnsi="宋体" w:hint="eastAsia"/>
                <w:sz w:val="24"/>
              </w:rPr>
              <w:t>日</w:t>
            </w:r>
          </w:p>
        </w:tc>
        <w:tc>
          <w:tcPr>
            <w:tcW w:w="1303"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sz w:val="24"/>
              </w:rPr>
              <w:t>国家矿山安全监察局山东局</w:t>
            </w:r>
          </w:p>
        </w:tc>
        <w:tc>
          <w:tcPr>
            <w:tcW w:w="1249" w:type="dxa"/>
            <w:shd w:val="clear" w:color="auto" w:fill="auto"/>
            <w:vAlign w:val="center"/>
          </w:tcPr>
          <w:p w:rsidR="00534607" w:rsidRPr="00832399" w:rsidRDefault="00534607" w:rsidP="003E454B">
            <w:pPr>
              <w:adjustRightInd w:val="0"/>
              <w:snapToGrid w:val="0"/>
              <w:jc w:val="left"/>
              <w:rPr>
                <w:rFonts w:ascii="仿宋" w:eastAsia="仿宋" w:hAnsi="仿宋"/>
                <w:sz w:val="24"/>
              </w:rPr>
            </w:pPr>
            <w:r w:rsidRPr="00832399">
              <w:rPr>
                <w:rFonts w:ascii="仿宋" w:eastAsia="仿宋" w:hAnsi="仿宋" w:hint="eastAsia"/>
                <w:sz w:val="24"/>
              </w:rPr>
              <w:t>山东宏河控股集团有限公司</w:t>
            </w:r>
          </w:p>
        </w:tc>
        <w:tc>
          <w:tcPr>
            <w:tcW w:w="5670" w:type="dxa"/>
            <w:shd w:val="clear" w:color="auto" w:fill="auto"/>
            <w:vAlign w:val="center"/>
          </w:tcPr>
          <w:p w:rsidR="00534607" w:rsidRPr="00832399" w:rsidRDefault="00534607" w:rsidP="003E454B">
            <w:pPr>
              <w:adjustRightInd w:val="0"/>
              <w:snapToGrid w:val="0"/>
              <w:jc w:val="left"/>
              <w:rPr>
                <w:rFonts w:ascii="仿宋" w:eastAsia="仿宋" w:hAnsi="仿宋"/>
                <w:sz w:val="24"/>
              </w:rPr>
            </w:pPr>
            <w:r w:rsidRPr="00832399">
              <w:rPr>
                <w:rFonts w:ascii="仿宋" w:eastAsia="仿宋" w:hAnsi="仿宋" w:hint="eastAsia"/>
                <w:sz w:val="24"/>
              </w:rPr>
              <w:t>1.集团公司履行安全生产管理职责不到位，对所属红旗煤矿被监管监察部门先后查处的“矿井未配备足够数量的二氧化碳、氧气、硫化氢、二氧化硫气体测定管”、“矿井开采的3煤层为自燃煤层，未采用自然发火监测系统，每天监测3152综放工作面采空区的气体浓度”“矿井开采的3煤、3下煤层为自燃煤层，2020年10月施工完成的3161联络巷永久性密闭墙内氧气浓度为18.2%；2014年11月施工完成的3130轨道顺槽永久性密闭墙内氧气浓度为18.3%，封闭不严未采取措施及时处理”等事故隐患，督促整改不力，不符合《中华人民共和国安全生产法》第二十五条第五项、第七项的规定；2.集团公司已连续三个季度未按照公司制定的《生产安全事故隐患排查治理报告制度》，召开煤矿事故隐患排查会议，审查各煤矿下季度隐患分级意见及治理方案，并确定纳入集团公司督办的重点隐患，不符</w:t>
            </w:r>
            <w:r w:rsidRPr="00832399">
              <w:rPr>
                <w:rFonts w:ascii="仿宋" w:eastAsia="仿宋" w:hAnsi="仿宋" w:hint="eastAsia"/>
                <w:sz w:val="24"/>
              </w:rPr>
              <w:lastRenderedPageBreak/>
              <w:t>合《安全生产违法行为行政处罚办法》（国家安全生产监督管理总局令第15号）第四十五条第一项的规定；3.集团公司未投保安全生产责任保险，不符合《中华人民共和国安全生产法》第五十一条第二款的规定；4.集团公司2023年1季度未将所属煤矿重大安全生产隐患和行为的排查情况向煤矿安全生产监管部门、煤矿安全监察机构书面报告，不符合《中华人民共和国安全生产法》第四十一条第二款的规定</w:t>
            </w:r>
            <w:r>
              <w:rPr>
                <w:rFonts w:ascii="仿宋" w:eastAsia="仿宋" w:hAnsi="仿宋" w:hint="eastAsia"/>
                <w:sz w:val="24"/>
              </w:rPr>
              <w:t>。</w:t>
            </w:r>
          </w:p>
        </w:tc>
        <w:tc>
          <w:tcPr>
            <w:tcW w:w="1232" w:type="dxa"/>
            <w:shd w:val="clear" w:color="auto" w:fill="auto"/>
            <w:vAlign w:val="center"/>
          </w:tcPr>
          <w:p w:rsidR="00534607" w:rsidRPr="00570232" w:rsidRDefault="00534607" w:rsidP="003E454B">
            <w:pPr>
              <w:adjustRightInd w:val="0"/>
              <w:snapToGrid w:val="0"/>
              <w:rPr>
                <w:rFonts w:ascii="仿宋" w:eastAsia="仿宋" w:hAnsi="仿宋"/>
                <w:sz w:val="24"/>
              </w:rPr>
            </w:pPr>
            <w:r w:rsidRPr="00570232">
              <w:rPr>
                <w:rFonts w:ascii="仿宋" w:eastAsia="仿宋" w:hAnsi="仿宋" w:hint="eastAsia"/>
                <w:sz w:val="24"/>
              </w:rPr>
              <w:lastRenderedPageBreak/>
              <w:t>《中华人民共和国安全生产法》第一百零二条、《安全生产违法行为行政处罚办法》（国家安全生产监督管理总局令第15号）第四十五条第一项、</w:t>
            </w:r>
            <w:r w:rsidRPr="00570232">
              <w:rPr>
                <w:rFonts w:ascii="仿宋" w:eastAsia="仿宋" w:hAnsi="仿宋" w:hint="eastAsia"/>
                <w:sz w:val="24"/>
              </w:rPr>
              <w:lastRenderedPageBreak/>
              <w:t>《中华人民共和国安全生产法》第一百零九条、《中华人民共和国安全生产法》第一百零一条第五项</w:t>
            </w:r>
          </w:p>
        </w:tc>
        <w:tc>
          <w:tcPr>
            <w:tcW w:w="1282" w:type="dxa"/>
            <w:shd w:val="clear" w:color="auto" w:fill="auto"/>
            <w:vAlign w:val="center"/>
          </w:tcPr>
          <w:p w:rsidR="00534607" w:rsidRPr="005D2A2C" w:rsidRDefault="00534607" w:rsidP="003E454B">
            <w:pPr>
              <w:adjustRightInd w:val="0"/>
              <w:snapToGrid w:val="0"/>
              <w:rPr>
                <w:rFonts w:ascii="仿宋" w:eastAsia="仿宋" w:hAnsi="仿宋"/>
                <w:sz w:val="24"/>
              </w:rPr>
            </w:pPr>
            <w:r w:rsidRPr="00D62FC9">
              <w:rPr>
                <w:rFonts w:ascii="仿宋" w:eastAsia="仿宋" w:hAnsi="仿宋"/>
                <w:sz w:val="24"/>
              </w:rPr>
              <w:lastRenderedPageBreak/>
              <w:t>合并罚款人民币壹拾叁万伍仟元整（</w:t>
            </w:r>
            <w:r w:rsidRPr="00D62FC9">
              <w:rPr>
                <w:rFonts w:ascii="Calibri" w:eastAsia="仿宋" w:hAnsi="Calibri" w:cs="Calibri"/>
                <w:sz w:val="24"/>
              </w:rPr>
              <w:t>¥</w:t>
            </w:r>
            <w:r w:rsidRPr="00D62FC9">
              <w:rPr>
                <w:rFonts w:ascii="仿宋" w:eastAsia="仿宋" w:hAnsi="仿宋"/>
                <w:sz w:val="24"/>
              </w:rPr>
              <w:t>135,000）</w:t>
            </w:r>
            <w:r>
              <w:rPr>
                <w:rFonts w:ascii="仿宋" w:eastAsia="仿宋" w:hAnsi="仿宋" w:hint="eastAsia"/>
                <w:sz w:val="24"/>
              </w:rPr>
              <w:t>警告</w:t>
            </w:r>
          </w:p>
        </w:tc>
      </w:tr>
      <w:tr w:rsidR="00534607" w:rsidRPr="006B6B49" w:rsidTr="003E454B">
        <w:trPr>
          <w:jc w:val="center"/>
        </w:trPr>
        <w:tc>
          <w:tcPr>
            <w:tcW w:w="704" w:type="dxa"/>
            <w:shd w:val="clear" w:color="auto" w:fill="auto"/>
            <w:vAlign w:val="center"/>
          </w:tcPr>
          <w:p w:rsidR="00534607" w:rsidRDefault="00534607" w:rsidP="003E454B">
            <w:pPr>
              <w:adjustRightInd w:val="0"/>
              <w:snapToGrid w:val="0"/>
              <w:jc w:val="center"/>
              <w:rPr>
                <w:rFonts w:ascii="仿宋_GB2312" w:hAnsi="宋体"/>
                <w:sz w:val="24"/>
              </w:rPr>
            </w:pPr>
            <w:r>
              <w:rPr>
                <w:rFonts w:ascii="仿宋_GB2312" w:hAnsi="宋体"/>
                <w:sz w:val="24"/>
              </w:rPr>
              <w:lastRenderedPageBreak/>
              <w:t>2</w:t>
            </w:r>
          </w:p>
        </w:tc>
        <w:tc>
          <w:tcPr>
            <w:tcW w:w="1105" w:type="dxa"/>
            <w:shd w:val="clear" w:color="auto" w:fill="auto"/>
            <w:vAlign w:val="center"/>
          </w:tcPr>
          <w:p w:rsidR="00534607" w:rsidRPr="00994A11" w:rsidRDefault="00534607" w:rsidP="003E454B">
            <w:pPr>
              <w:adjustRightInd w:val="0"/>
              <w:snapToGrid w:val="0"/>
              <w:rPr>
                <w:rFonts w:ascii="仿宋_GB2312" w:hAnsi="宋体"/>
                <w:sz w:val="24"/>
              </w:rPr>
            </w:pPr>
            <w:r>
              <w:rPr>
                <w:rFonts w:ascii="仿宋_GB2312" w:hAnsi="宋体" w:hint="eastAsia"/>
                <w:sz w:val="24"/>
              </w:rPr>
              <w:t>202</w:t>
            </w:r>
            <w:r>
              <w:rPr>
                <w:rFonts w:ascii="仿宋_GB2312" w:hAnsi="宋体"/>
                <w:sz w:val="24"/>
              </w:rPr>
              <w:t>3</w:t>
            </w:r>
            <w:r>
              <w:rPr>
                <w:rFonts w:ascii="仿宋_GB2312" w:hAnsi="宋体" w:hint="eastAsia"/>
                <w:sz w:val="24"/>
              </w:rPr>
              <w:t>年</w:t>
            </w:r>
            <w:r>
              <w:rPr>
                <w:rFonts w:ascii="仿宋_GB2312" w:hAnsi="宋体"/>
                <w:sz w:val="24"/>
              </w:rPr>
              <w:t>5</w:t>
            </w:r>
            <w:r>
              <w:rPr>
                <w:rFonts w:ascii="仿宋_GB2312" w:hAnsi="宋体" w:hint="eastAsia"/>
                <w:sz w:val="24"/>
              </w:rPr>
              <w:t>月</w:t>
            </w:r>
            <w:r>
              <w:rPr>
                <w:rFonts w:ascii="仿宋_GB2312" w:hAnsi="宋体"/>
                <w:sz w:val="24"/>
              </w:rPr>
              <w:t>15</w:t>
            </w:r>
            <w:r>
              <w:rPr>
                <w:rFonts w:ascii="仿宋_GB2312" w:hAnsi="宋体" w:hint="eastAsia"/>
                <w:sz w:val="24"/>
              </w:rPr>
              <w:t>日</w:t>
            </w:r>
          </w:p>
        </w:tc>
        <w:tc>
          <w:tcPr>
            <w:tcW w:w="1303"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sz w:val="24"/>
              </w:rPr>
              <w:t>国家矿山安全监察局山东局</w:t>
            </w:r>
          </w:p>
        </w:tc>
        <w:tc>
          <w:tcPr>
            <w:tcW w:w="1249" w:type="dxa"/>
            <w:shd w:val="clear" w:color="auto" w:fill="auto"/>
            <w:vAlign w:val="center"/>
          </w:tcPr>
          <w:p w:rsidR="00534607" w:rsidRDefault="00534607" w:rsidP="003E454B">
            <w:pPr>
              <w:adjustRightInd w:val="0"/>
              <w:snapToGrid w:val="0"/>
              <w:jc w:val="left"/>
              <w:rPr>
                <w:rFonts w:ascii="仿宋" w:eastAsia="仿宋" w:hAnsi="仿宋"/>
                <w:sz w:val="24"/>
              </w:rPr>
            </w:pPr>
            <w:r w:rsidRPr="00832399">
              <w:rPr>
                <w:rFonts w:ascii="仿宋" w:eastAsia="仿宋" w:hAnsi="仿宋" w:hint="eastAsia"/>
                <w:sz w:val="24"/>
              </w:rPr>
              <w:t>山东宏河控股集团有限公司</w:t>
            </w:r>
          </w:p>
        </w:tc>
        <w:tc>
          <w:tcPr>
            <w:tcW w:w="5670" w:type="dxa"/>
            <w:shd w:val="clear" w:color="auto" w:fill="auto"/>
            <w:vAlign w:val="center"/>
          </w:tcPr>
          <w:p w:rsidR="00534607" w:rsidRPr="00E57FAA" w:rsidRDefault="00534607" w:rsidP="003E454B">
            <w:pPr>
              <w:adjustRightInd w:val="0"/>
              <w:snapToGrid w:val="0"/>
              <w:jc w:val="left"/>
              <w:rPr>
                <w:rFonts w:ascii="仿宋" w:eastAsia="仿宋" w:hAnsi="仿宋"/>
                <w:sz w:val="24"/>
              </w:rPr>
            </w:pPr>
            <w:r w:rsidRPr="00E57FAA">
              <w:rPr>
                <w:rFonts w:ascii="仿宋" w:eastAsia="仿宋" w:hAnsi="仿宋" w:hint="eastAsia"/>
                <w:sz w:val="24"/>
              </w:rPr>
              <w:t>集团公司已连续三个季度未按照公司制定的《生产安全事故隐患排查治理报告制度》，召开煤矿事故隐患排查会议，审查各煤矿下季度隐患分级意见及治理方案，并确定纳入集团公司督办的重点隐患，不符合《安全生产违法行为行政处罚办法》（国家安全生产监督管理总局令第15号）第四十五条第一项的规定</w:t>
            </w:r>
          </w:p>
        </w:tc>
        <w:tc>
          <w:tcPr>
            <w:tcW w:w="1232" w:type="dxa"/>
            <w:shd w:val="clear" w:color="auto" w:fill="auto"/>
            <w:vAlign w:val="center"/>
          </w:tcPr>
          <w:p w:rsidR="00534607" w:rsidRPr="000002AD" w:rsidRDefault="00534607" w:rsidP="003E454B">
            <w:pPr>
              <w:adjustRightInd w:val="0"/>
              <w:snapToGrid w:val="0"/>
              <w:jc w:val="left"/>
              <w:rPr>
                <w:rFonts w:ascii="仿宋" w:eastAsia="仿宋" w:hAnsi="仿宋"/>
                <w:sz w:val="24"/>
              </w:rPr>
            </w:pPr>
            <w:r w:rsidRPr="00836365">
              <w:rPr>
                <w:rFonts w:ascii="仿宋" w:eastAsia="仿宋" w:hAnsi="仿宋" w:hint="eastAsia"/>
                <w:sz w:val="24"/>
              </w:rPr>
              <w:t>《安全生产违法行为行政处罚办法》（国家安全生产监督管理总局令第</w:t>
            </w:r>
            <w:r w:rsidRPr="00836365">
              <w:rPr>
                <w:rFonts w:ascii="仿宋" w:eastAsia="仿宋" w:hAnsi="仿宋"/>
                <w:sz w:val="24"/>
              </w:rPr>
              <w:t>15号）第四十五条第一项</w:t>
            </w:r>
          </w:p>
        </w:tc>
        <w:tc>
          <w:tcPr>
            <w:tcW w:w="1282" w:type="dxa"/>
            <w:shd w:val="clear" w:color="auto" w:fill="auto"/>
            <w:vAlign w:val="center"/>
          </w:tcPr>
          <w:p w:rsidR="00534607" w:rsidRPr="005D2A2C" w:rsidRDefault="00534607" w:rsidP="003E454B">
            <w:pPr>
              <w:adjustRightInd w:val="0"/>
              <w:snapToGrid w:val="0"/>
              <w:rPr>
                <w:rFonts w:ascii="仿宋" w:eastAsia="仿宋" w:hAnsi="仿宋"/>
                <w:sz w:val="24"/>
              </w:rPr>
            </w:pPr>
            <w:r w:rsidRPr="00836365">
              <w:rPr>
                <w:rFonts w:ascii="仿宋" w:eastAsia="仿宋" w:hAnsi="仿宋"/>
                <w:sz w:val="24"/>
              </w:rPr>
              <w:t>处</w:t>
            </w:r>
            <w:r>
              <w:rPr>
                <w:rFonts w:ascii="仿宋" w:eastAsia="仿宋" w:hAnsi="仿宋" w:hint="eastAsia"/>
                <w:sz w:val="24"/>
              </w:rPr>
              <w:t>个人</w:t>
            </w:r>
            <w:r w:rsidRPr="00836365">
              <w:rPr>
                <w:rFonts w:ascii="仿宋" w:eastAsia="仿宋" w:hAnsi="仿宋"/>
                <w:sz w:val="24"/>
              </w:rPr>
              <w:t>罚款捌仟元（</w:t>
            </w:r>
            <w:r w:rsidRPr="00836365">
              <w:rPr>
                <w:rFonts w:ascii="Calibri" w:eastAsia="仿宋" w:hAnsi="Calibri" w:cs="Calibri"/>
                <w:sz w:val="24"/>
              </w:rPr>
              <w:t>¥</w:t>
            </w:r>
            <w:r w:rsidRPr="00836365">
              <w:rPr>
                <w:rFonts w:ascii="仿宋" w:eastAsia="仿宋" w:hAnsi="仿宋"/>
                <w:sz w:val="24"/>
              </w:rPr>
              <w:t>8,000）</w:t>
            </w:r>
            <w:r>
              <w:rPr>
                <w:rFonts w:ascii="仿宋" w:eastAsia="仿宋" w:hAnsi="仿宋" w:hint="eastAsia"/>
                <w:sz w:val="24"/>
              </w:rPr>
              <w:t>整</w:t>
            </w:r>
          </w:p>
        </w:tc>
      </w:tr>
      <w:tr w:rsidR="00534607" w:rsidRPr="006B6B49" w:rsidTr="003E454B">
        <w:trPr>
          <w:jc w:val="center"/>
        </w:trPr>
        <w:tc>
          <w:tcPr>
            <w:tcW w:w="704" w:type="dxa"/>
            <w:shd w:val="clear" w:color="auto" w:fill="auto"/>
            <w:vAlign w:val="center"/>
          </w:tcPr>
          <w:p w:rsidR="00534607" w:rsidRDefault="00534607" w:rsidP="003E454B">
            <w:pPr>
              <w:adjustRightInd w:val="0"/>
              <w:snapToGrid w:val="0"/>
              <w:jc w:val="center"/>
              <w:rPr>
                <w:rFonts w:ascii="仿宋_GB2312" w:hAnsi="宋体"/>
                <w:sz w:val="24"/>
              </w:rPr>
            </w:pPr>
            <w:r>
              <w:rPr>
                <w:rFonts w:ascii="仿宋_GB2312" w:hAnsi="宋体"/>
                <w:sz w:val="24"/>
              </w:rPr>
              <w:t>3</w:t>
            </w:r>
          </w:p>
        </w:tc>
        <w:tc>
          <w:tcPr>
            <w:tcW w:w="1105"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hint="eastAsia"/>
                <w:sz w:val="24"/>
              </w:rPr>
              <w:t>202</w:t>
            </w:r>
            <w:r>
              <w:rPr>
                <w:rFonts w:ascii="仿宋_GB2312" w:hAnsi="宋体"/>
                <w:sz w:val="24"/>
              </w:rPr>
              <w:t>3</w:t>
            </w:r>
            <w:r>
              <w:rPr>
                <w:rFonts w:ascii="仿宋_GB2312" w:hAnsi="宋体" w:hint="eastAsia"/>
                <w:sz w:val="24"/>
              </w:rPr>
              <w:t>年</w:t>
            </w:r>
            <w:r>
              <w:rPr>
                <w:rFonts w:ascii="仿宋_GB2312" w:hAnsi="宋体"/>
                <w:sz w:val="24"/>
              </w:rPr>
              <w:t>5</w:t>
            </w:r>
            <w:r>
              <w:rPr>
                <w:rFonts w:ascii="仿宋_GB2312" w:hAnsi="宋体" w:hint="eastAsia"/>
                <w:sz w:val="24"/>
              </w:rPr>
              <w:t>月</w:t>
            </w:r>
            <w:r>
              <w:rPr>
                <w:rFonts w:ascii="仿宋_GB2312" w:hAnsi="宋体"/>
                <w:sz w:val="24"/>
              </w:rPr>
              <w:t>15</w:t>
            </w:r>
            <w:r>
              <w:rPr>
                <w:rFonts w:ascii="仿宋_GB2312" w:hAnsi="宋体" w:hint="eastAsia"/>
                <w:sz w:val="24"/>
              </w:rPr>
              <w:t>日</w:t>
            </w:r>
          </w:p>
        </w:tc>
        <w:tc>
          <w:tcPr>
            <w:tcW w:w="1303"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sz w:val="24"/>
              </w:rPr>
              <w:t>国家矿山安全监察局山东局</w:t>
            </w:r>
          </w:p>
        </w:tc>
        <w:tc>
          <w:tcPr>
            <w:tcW w:w="1249" w:type="dxa"/>
            <w:shd w:val="clear" w:color="auto" w:fill="auto"/>
            <w:vAlign w:val="center"/>
          </w:tcPr>
          <w:p w:rsidR="00534607" w:rsidRDefault="00534607" w:rsidP="003E454B">
            <w:pPr>
              <w:adjustRightInd w:val="0"/>
              <w:snapToGrid w:val="0"/>
              <w:jc w:val="left"/>
              <w:rPr>
                <w:rFonts w:ascii="仿宋" w:eastAsia="仿宋" w:hAnsi="仿宋"/>
                <w:sz w:val="24"/>
              </w:rPr>
            </w:pPr>
            <w:r w:rsidRPr="00832399">
              <w:rPr>
                <w:rFonts w:ascii="仿宋" w:eastAsia="仿宋" w:hAnsi="仿宋" w:hint="eastAsia"/>
                <w:sz w:val="24"/>
              </w:rPr>
              <w:t>山东宏河控股集团有限公司</w:t>
            </w:r>
          </w:p>
        </w:tc>
        <w:tc>
          <w:tcPr>
            <w:tcW w:w="5670" w:type="dxa"/>
            <w:shd w:val="clear" w:color="auto" w:fill="auto"/>
            <w:vAlign w:val="center"/>
          </w:tcPr>
          <w:p w:rsidR="00534607" w:rsidRPr="00E947A6" w:rsidRDefault="00534607" w:rsidP="003E454B">
            <w:pPr>
              <w:adjustRightInd w:val="0"/>
              <w:snapToGrid w:val="0"/>
              <w:jc w:val="left"/>
              <w:rPr>
                <w:rFonts w:ascii="仿宋" w:eastAsia="仿宋" w:hAnsi="仿宋"/>
                <w:sz w:val="24"/>
              </w:rPr>
            </w:pPr>
            <w:r w:rsidRPr="00E947A6">
              <w:rPr>
                <w:rFonts w:ascii="仿宋" w:eastAsia="仿宋" w:hAnsi="仿宋" w:hint="eastAsia"/>
                <w:sz w:val="24"/>
              </w:rPr>
              <w:t>集团公司已连续三个季度未按照公司制定的《生产安全事故隐患排查治理报告制度》，召开煤矿事故隐患排查会议，审查各煤矿下季度隐患分级意见及治理方案，并确定纳入集团公司督办的重点隐患，不</w:t>
            </w:r>
            <w:r w:rsidRPr="00E947A6">
              <w:rPr>
                <w:rFonts w:ascii="仿宋" w:eastAsia="仿宋" w:hAnsi="仿宋" w:hint="eastAsia"/>
                <w:sz w:val="24"/>
              </w:rPr>
              <w:lastRenderedPageBreak/>
              <w:t>符合《安全生产违法行为行政处罚办法》（国家安全生产监督管理总局令第15号）第四十五条第一项的规定</w:t>
            </w:r>
            <w:r>
              <w:rPr>
                <w:rFonts w:ascii="仿宋" w:eastAsia="仿宋" w:hAnsi="仿宋" w:hint="eastAsia"/>
                <w:sz w:val="24"/>
              </w:rPr>
              <w:t>。</w:t>
            </w:r>
          </w:p>
        </w:tc>
        <w:tc>
          <w:tcPr>
            <w:tcW w:w="1232" w:type="dxa"/>
            <w:shd w:val="clear" w:color="auto" w:fill="auto"/>
            <w:vAlign w:val="center"/>
          </w:tcPr>
          <w:p w:rsidR="00534607" w:rsidRPr="00391206" w:rsidRDefault="00534607" w:rsidP="003E454B">
            <w:pPr>
              <w:adjustRightInd w:val="0"/>
              <w:snapToGrid w:val="0"/>
              <w:jc w:val="left"/>
              <w:rPr>
                <w:rFonts w:ascii="仿宋" w:eastAsia="仿宋" w:hAnsi="仿宋"/>
                <w:sz w:val="24"/>
              </w:rPr>
            </w:pPr>
            <w:r w:rsidRPr="00391206">
              <w:rPr>
                <w:rFonts w:ascii="仿宋" w:eastAsia="仿宋" w:hAnsi="仿宋" w:hint="eastAsia"/>
                <w:sz w:val="24"/>
              </w:rPr>
              <w:lastRenderedPageBreak/>
              <w:t>《安全生产违法行为行政处罚办法》</w:t>
            </w:r>
            <w:r w:rsidRPr="00391206">
              <w:rPr>
                <w:rFonts w:ascii="仿宋" w:eastAsia="仿宋" w:hAnsi="仿宋" w:hint="eastAsia"/>
                <w:sz w:val="24"/>
              </w:rPr>
              <w:lastRenderedPageBreak/>
              <w:t>（国家安全生产监督管理总局令第</w:t>
            </w:r>
            <w:r w:rsidRPr="00391206">
              <w:rPr>
                <w:rFonts w:ascii="仿宋" w:eastAsia="仿宋" w:hAnsi="仿宋"/>
                <w:sz w:val="24"/>
              </w:rPr>
              <w:t>15号）第四十五条第一项</w:t>
            </w:r>
          </w:p>
        </w:tc>
        <w:tc>
          <w:tcPr>
            <w:tcW w:w="1282" w:type="dxa"/>
            <w:shd w:val="clear" w:color="auto" w:fill="auto"/>
            <w:vAlign w:val="center"/>
          </w:tcPr>
          <w:p w:rsidR="00534607" w:rsidRDefault="00534607" w:rsidP="003E454B">
            <w:pPr>
              <w:adjustRightInd w:val="0"/>
              <w:snapToGrid w:val="0"/>
              <w:rPr>
                <w:rFonts w:ascii="仿宋" w:eastAsia="仿宋" w:hAnsi="仿宋"/>
                <w:sz w:val="24"/>
              </w:rPr>
            </w:pPr>
            <w:r w:rsidRPr="00391206">
              <w:rPr>
                <w:rFonts w:ascii="仿宋" w:eastAsia="仿宋" w:hAnsi="仿宋"/>
                <w:sz w:val="24"/>
              </w:rPr>
              <w:lastRenderedPageBreak/>
              <w:t>处</w:t>
            </w:r>
            <w:r>
              <w:rPr>
                <w:rFonts w:ascii="仿宋" w:eastAsia="仿宋" w:hAnsi="仿宋" w:hint="eastAsia"/>
                <w:sz w:val="24"/>
              </w:rPr>
              <w:t>个人罚款</w:t>
            </w:r>
            <w:r w:rsidRPr="00391206">
              <w:rPr>
                <w:rFonts w:ascii="仿宋" w:eastAsia="仿宋" w:hAnsi="仿宋"/>
                <w:sz w:val="24"/>
              </w:rPr>
              <w:t>伍仟元（</w:t>
            </w:r>
            <w:r w:rsidRPr="00391206">
              <w:rPr>
                <w:rFonts w:ascii="Calibri" w:eastAsia="仿宋" w:hAnsi="Calibri" w:cs="Calibri"/>
                <w:sz w:val="24"/>
              </w:rPr>
              <w:t>¥</w:t>
            </w:r>
            <w:r w:rsidRPr="00391206">
              <w:rPr>
                <w:rFonts w:ascii="仿宋" w:eastAsia="仿宋" w:hAnsi="仿宋"/>
                <w:sz w:val="24"/>
              </w:rPr>
              <w:t>5,000）</w:t>
            </w:r>
            <w:r>
              <w:rPr>
                <w:rFonts w:ascii="仿宋" w:eastAsia="仿宋" w:hAnsi="仿宋" w:hint="eastAsia"/>
                <w:sz w:val="24"/>
              </w:rPr>
              <w:t>整</w:t>
            </w:r>
          </w:p>
        </w:tc>
      </w:tr>
      <w:tr w:rsidR="00534607" w:rsidRPr="006B6B49" w:rsidTr="003E454B">
        <w:trPr>
          <w:jc w:val="center"/>
        </w:trPr>
        <w:tc>
          <w:tcPr>
            <w:tcW w:w="704" w:type="dxa"/>
            <w:shd w:val="clear" w:color="auto" w:fill="auto"/>
            <w:vAlign w:val="center"/>
          </w:tcPr>
          <w:p w:rsidR="00534607" w:rsidRDefault="00534607" w:rsidP="003E454B">
            <w:pPr>
              <w:adjustRightInd w:val="0"/>
              <w:snapToGrid w:val="0"/>
              <w:jc w:val="center"/>
              <w:rPr>
                <w:rFonts w:ascii="仿宋_GB2312" w:hAnsi="宋体"/>
                <w:sz w:val="24"/>
              </w:rPr>
            </w:pPr>
            <w:r>
              <w:rPr>
                <w:rFonts w:ascii="仿宋_GB2312" w:hAnsi="宋体" w:hint="eastAsia"/>
                <w:sz w:val="24"/>
              </w:rPr>
              <w:lastRenderedPageBreak/>
              <w:t>4</w:t>
            </w:r>
          </w:p>
        </w:tc>
        <w:tc>
          <w:tcPr>
            <w:tcW w:w="1105"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hint="eastAsia"/>
                <w:sz w:val="24"/>
              </w:rPr>
              <w:t>202</w:t>
            </w:r>
            <w:r>
              <w:rPr>
                <w:rFonts w:ascii="仿宋_GB2312" w:hAnsi="宋体"/>
                <w:sz w:val="24"/>
              </w:rPr>
              <w:t>3</w:t>
            </w:r>
            <w:r>
              <w:rPr>
                <w:rFonts w:ascii="仿宋_GB2312" w:hAnsi="宋体" w:hint="eastAsia"/>
                <w:sz w:val="24"/>
              </w:rPr>
              <w:t>年</w:t>
            </w:r>
            <w:r>
              <w:rPr>
                <w:rFonts w:ascii="仿宋_GB2312" w:hAnsi="宋体"/>
                <w:sz w:val="24"/>
              </w:rPr>
              <w:t>5</w:t>
            </w:r>
            <w:r>
              <w:rPr>
                <w:rFonts w:ascii="仿宋_GB2312" w:hAnsi="宋体" w:hint="eastAsia"/>
                <w:sz w:val="24"/>
              </w:rPr>
              <w:t>月</w:t>
            </w:r>
            <w:r>
              <w:rPr>
                <w:rFonts w:ascii="仿宋_GB2312" w:hAnsi="宋体"/>
                <w:sz w:val="24"/>
              </w:rPr>
              <w:t>15</w:t>
            </w:r>
            <w:r>
              <w:rPr>
                <w:rFonts w:ascii="仿宋_GB2312" w:hAnsi="宋体" w:hint="eastAsia"/>
                <w:sz w:val="24"/>
              </w:rPr>
              <w:t>日</w:t>
            </w:r>
          </w:p>
        </w:tc>
        <w:tc>
          <w:tcPr>
            <w:tcW w:w="1303" w:type="dxa"/>
            <w:shd w:val="clear" w:color="auto" w:fill="auto"/>
            <w:vAlign w:val="center"/>
          </w:tcPr>
          <w:p w:rsidR="00534607" w:rsidRDefault="00534607" w:rsidP="003E454B">
            <w:pPr>
              <w:adjustRightInd w:val="0"/>
              <w:snapToGrid w:val="0"/>
              <w:rPr>
                <w:rFonts w:ascii="仿宋_GB2312" w:hAnsi="宋体"/>
                <w:sz w:val="24"/>
              </w:rPr>
            </w:pPr>
            <w:r>
              <w:rPr>
                <w:rFonts w:ascii="仿宋_GB2312" w:hAnsi="宋体"/>
                <w:sz w:val="24"/>
              </w:rPr>
              <w:t>国家矿山安全监察局山东局</w:t>
            </w:r>
          </w:p>
        </w:tc>
        <w:tc>
          <w:tcPr>
            <w:tcW w:w="1249" w:type="dxa"/>
            <w:shd w:val="clear" w:color="auto" w:fill="auto"/>
            <w:vAlign w:val="center"/>
          </w:tcPr>
          <w:p w:rsidR="00534607" w:rsidRDefault="00534607" w:rsidP="003E454B">
            <w:pPr>
              <w:adjustRightInd w:val="0"/>
              <w:snapToGrid w:val="0"/>
              <w:jc w:val="left"/>
              <w:rPr>
                <w:rFonts w:ascii="仿宋" w:eastAsia="仿宋" w:hAnsi="仿宋"/>
                <w:sz w:val="24"/>
              </w:rPr>
            </w:pPr>
            <w:r w:rsidRPr="00D0512E">
              <w:rPr>
                <w:rFonts w:ascii="仿宋_GB2312" w:hAnsi="宋体" w:hint="eastAsia"/>
                <w:sz w:val="24"/>
              </w:rPr>
              <w:t>山东宏河控股集团有限公司</w:t>
            </w:r>
          </w:p>
        </w:tc>
        <w:tc>
          <w:tcPr>
            <w:tcW w:w="5670" w:type="dxa"/>
            <w:shd w:val="clear" w:color="auto" w:fill="auto"/>
            <w:vAlign w:val="center"/>
          </w:tcPr>
          <w:p w:rsidR="00534607" w:rsidRPr="00D0512E" w:rsidRDefault="00534607" w:rsidP="003E454B">
            <w:pPr>
              <w:adjustRightInd w:val="0"/>
              <w:snapToGrid w:val="0"/>
              <w:jc w:val="left"/>
              <w:rPr>
                <w:rFonts w:ascii="仿宋" w:eastAsia="仿宋" w:hAnsi="仿宋"/>
                <w:sz w:val="24"/>
              </w:rPr>
            </w:pPr>
            <w:r w:rsidRPr="00D0512E">
              <w:rPr>
                <w:rFonts w:ascii="仿宋" w:eastAsia="仿宋" w:hAnsi="仿宋" w:hint="eastAsia"/>
                <w:sz w:val="24"/>
              </w:rPr>
              <w:t>集团公司履行安全生产管理职责不到位，对所属红旗煤矿被监管监察部门先后查处的“矿井未配备足够数量的二氧化碳、氧气、硫化氢、二氧化硫气体测定管”、“矿井开采的3煤层为自燃煤层，未采用自然发火监测系统，每天监测3152综放工作面采空区的气体浓度”“矿井开采的3煤、3下煤层为自燃煤层，2020年10月施工完成的3161联络巷永久性密闭墙内氧气浓度为18.2%；2014年11月施工完成的3130轨道顺槽永久性密闭墙内氧气浓度为18.3%，封闭不严未采取措施及时处理”等事故隐患，督促整改不力，不符合《中华人民共和国安全生产法》第二十五条第五项、第七项的规定</w:t>
            </w:r>
            <w:r>
              <w:rPr>
                <w:rFonts w:ascii="仿宋" w:eastAsia="仿宋" w:hAnsi="仿宋" w:hint="eastAsia"/>
                <w:sz w:val="24"/>
              </w:rPr>
              <w:t>。</w:t>
            </w:r>
          </w:p>
        </w:tc>
        <w:tc>
          <w:tcPr>
            <w:tcW w:w="1232" w:type="dxa"/>
            <w:shd w:val="clear" w:color="auto" w:fill="auto"/>
            <w:vAlign w:val="center"/>
          </w:tcPr>
          <w:p w:rsidR="00534607" w:rsidRPr="00112DCA" w:rsidRDefault="00534607" w:rsidP="003E454B">
            <w:pPr>
              <w:adjustRightInd w:val="0"/>
              <w:snapToGrid w:val="0"/>
              <w:jc w:val="left"/>
              <w:rPr>
                <w:rFonts w:ascii="仿宋" w:eastAsia="仿宋" w:hAnsi="仿宋"/>
                <w:sz w:val="24"/>
              </w:rPr>
            </w:pPr>
            <w:r w:rsidRPr="00112DCA">
              <w:rPr>
                <w:rFonts w:ascii="仿宋" w:eastAsia="仿宋" w:hAnsi="仿宋" w:hint="eastAsia"/>
                <w:sz w:val="24"/>
              </w:rPr>
              <w:t>《中华人民共和国安全生产法》第九十六条</w:t>
            </w:r>
          </w:p>
        </w:tc>
        <w:tc>
          <w:tcPr>
            <w:tcW w:w="1282" w:type="dxa"/>
            <w:shd w:val="clear" w:color="auto" w:fill="auto"/>
            <w:vAlign w:val="center"/>
          </w:tcPr>
          <w:p w:rsidR="00534607" w:rsidRPr="00112DCA" w:rsidRDefault="00534607" w:rsidP="003E454B">
            <w:pPr>
              <w:adjustRightInd w:val="0"/>
              <w:snapToGrid w:val="0"/>
              <w:rPr>
                <w:rFonts w:ascii="仿宋" w:eastAsia="仿宋" w:hAnsi="仿宋"/>
                <w:sz w:val="24"/>
              </w:rPr>
            </w:pPr>
            <w:r w:rsidRPr="00112DCA">
              <w:rPr>
                <w:rFonts w:ascii="仿宋" w:eastAsia="仿宋" w:hAnsi="仿宋" w:hint="eastAsia"/>
                <w:sz w:val="24"/>
              </w:rPr>
              <w:t>处个人罚款壹万元（</w:t>
            </w:r>
            <w:r w:rsidRPr="00112DCA">
              <w:rPr>
                <w:rFonts w:ascii="Calibri" w:eastAsia="仿宋" w:hAnsi="Calibri" w:cs="Calibri"/>
                <w:sz w:val="24"/>
              </w:rPr>
              <w:t>¥</w:t>
            </w:r>
            <w:r w:rsidRPr="00112DCA">
              <w:rPr>
                <w:rFonts w:ascii="仿宋" w:eastAsia="仿宋" w:hAnsi="仿宋" w:hint="eastAsia"/>
                <w:sz w:val="24"/>
              </w:rPr>
              <w:t>10000）整</w:t>
            </w:r>
          </w:p>
        </w:tc>
      </w:tr>
    </w:tbl>
    <w:p w:rsidR="00534607" w:rsidRPr="00E829A1" w:rsidRDefault="00534607" w:rsidP="00534607"/>
    <w:p w:rsidR="00534607" w:rsidRPr="00B95B6D" w:rsidRDefault="00534607" w:rsidP="00534607">
      <w:pPr>
        <w:spacing w:line="560" w:lineRule="exact"/>
      </w:pPr>
    </w:p>
    <w:p w:rsidR="007C3567" w:rsidRDefault="007C3567"/>
    <w:sectPr w:rsidR="007C3567" w:rsidSect="009C4FC4">
      <w:footerReference w:type="default" r:id="rId4"/>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603626"/>
      <w:docPartObj>
        <w:docPartGallery w:val="Page Numbers (Bottom of Page)"/>
        <w:docPartUnique/>
      </w:docPartObj>
    </w:sdtPr>
    <w:sdtEndPr/>
    <w:sdtContent>
      <w:p w:rsidR="00122F2C" w:rsidRDefault="00534607">
        <w:pPr>
          <w:pStyle w:val="a3"/>
          <w:jc w:val="center"/>
        </w:pPr>
        <w:r>
          <w:fldChar w:fldCharType="begin"/>
        </w:r>
        <w:r>
          <w:instrText>PAGE   \* MERGEFORMAT</w:instrText>
        </w:r>
        <w:r>
          <w:fldChar w:fldCharType="separate"/>
        </w:r>
        <w:r w:rsidRPr="00534607">
          <w:rPr>
            <w:noProof/>
            <w:lang w:val="zh-CN"/>
          </w:rPr>
          <w:t>3</w:t>
        </w:r>
        <w:r>
          <w:fldChar w:fldCharType="end"/>
        </w:r>
      </w:p>
    </w:sdtContent>
  </w:sdt>
  <w:p w:rsidR="00122F2C" w:rsidRDefault="0053460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07"/>
    <w:rsid w:val="00534607"/>
    <w:rsid w:val="007C3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1F07-9A92-4F32-846C-AD18659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0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样式4 Char"/>
    <w:link w:val="4"/>
    <w:rsid w:val="00534607"/>
    <w:rPr>
      <w:rFonts w:eastAsia="仿宋_GB2312"/>
      <w:sz w:val="32"/>
      <w:szCs w:val="32"/>
    </w:rPr>
  </w:style>
  <w:style w:type="paragraph" w:customStyle="1" w:styleId="4">
    <w:name w:val="样式4"/>
    <w:basedOn w:val="a"/>
    <w:link w:val="4Char"/>
    <w:rsid w:val="00534607"/>
    <w:pPr>
      <w:spacing w:line="600" w:lineRule="exact"/>
      <w:ind w:firstLineChars="200" w:firstLine="628"/>
    </w:pPr>
    <w:rPr>
      <w:szCs w:val="32"/>
    </w:rPr>
  </w:style>
  <w:style w:type="paragraph" w:styleId="a3">
    <w:name w:val="footer"/>
    <w:basedOn w:val="a"/>
    <w:link w:val="a4"/>
    <w:uiPriority w:val="99"/>
    <w:unhideWhenUsed/>
    <w:rsid w:val="00534607"/>
    <w:pPr>
      <w:tabs>
        <w:tab w:val="center" w:pos="4153"/>
        <w:tab w:val="right" w:pos="8306"/>
      </w:tabs>
      <w:snapToGrid w:val="0"/>
      <w:jc w:val="left"/>
    </w:pPr>
    <w:rPr>
      <w:sz w:val="18"/>
      <w:szCs w:val="18"/>
    </w:rPr>
  </w:style>
  <w:style w:type="character" w:customStyle="1" w:styleId="a4">
    <w:name w:val="页脚 字符"/>
    <w:basedOn w:val="a0"/>
    <w:link w:val="a3"/>
    <w:uiPriority w:val="99"/>
    <w:rsid w:val="0053460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1400</Characters>
  <Application>Microsoft Office Word</Application>
  <DocSecurity>0</DocSecurity>
  <Lines>11</Lines>
  <Paragraphs>3</Paragraphs>
  <ScaleCrop>false</ScaleCrop>
  <Company>sdj</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李澎</dc:creator>
  <cp:keywords/>
  <dc:description/>
  <cp:lastModifiedBy>李澎</cp:lastModifiedBy>
  <cp:revision>1</cp:revision>
  <dcterms:created xsi:type="dcterms:W3CDTF">2023-05-18T05:52:00Z</dcterms:created>
  <dcterms:modified xsi:type="dcterms:W3CDTF">2023-05-18T05:53:00Z</dcterms:modified>
</cp:coreProperties>
</file>