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7F" w:rsidRDefault="00EC4A7F" w:rsidP="00EC4A7F">
      <w:pPr>
        <w:spacing w:line="600" w:lineRule="exact"/>
        <w:jc w:val="left"/>
        <w:rPr>
          <w:rFonts w:ascii="仿宋_GB2312" w:hAnsi="等线"/>
          <w:color w:val="000000" w:themeColor="text1"/>
          <w:szCs w:val="32"/>
        </w:rPr>
      </w:pPr>
      <w:r>
        <w:rPr>
          <w:rFonts w:ascii="仿宋_GB2312" w:hAnsi="等线" w:hint="eastAsia"/>
          <w:color w:val="000000" w:themeColor="text1"/>
          <w:szCs w:val="32"/>
        </w:rPr>
        <w:t>附件</w:t>
      </w:r>
    </w:p>
    <w:p w:rsidR="00EC4A7F" w:rsidRDefault="00EC4A7F" w:rsidP="00EC4A7F">
      <w:pPr>
        <w:spacing w:line="600" w:lineRule="exact"/>
        <w:jc w:val="center"/>
        <w:rPr>
          <w:rFonts w:ascii="方正小标宋简体" w:eastAsia="方正小标宋简体" w:hAnsi="等线"/>
          <w:color w:val="000000" w:themeColor="text1"/>
          <w:szCs w:val="32"/>
        </w:rPr>
        <w:sectPr w:rsidR="00EC4A7F" w:rsidSect="00EC4A7F">
          <w:footerReference w:type="even" r:id="rId6"/>
          <w:footerReference w:type="default" r:id="rId7"/>
          <w:pgSz w:w="16840" w:h="11907" w:orient="landscape"/>
          <w:pgMar w:top="1588" w:right="2098" w:bottom="1474" w:left="1984" w:header="851" w:footer="992" w:gutter="0"/>
          <w:cols w:space="720"/>
          <w:docGrid w:type="lines" w:linePitch="579" w:charSpace="-842"/>
        </w:sectPr>
      </w:pPr>
      <w:bookmarkStart w:id="0" w:name="_GoBack"/>
      <w:r>
        <w:rPr>
          <w:rFonts w:ascii="方正小标宋简体" w:eastAsia="方正小标宋简体" w:hAnsi="等线" w:hint="eastAsia"/>
          <w:color w:val="000000" w:themeColor="text1"/>
          <w:szCs w:val="32"/>
        </w:rPr>
        <w:t>监察执法五处202</w:t>
      </w:r>
      <w:r>
        <w:rPr>
          <w:rFonts w:ascii="方正小标宋简体" w:eastAsia="方正小标宋简体" w:hAnsi="等线"/>
          <w:color w:val="000000" w:themeColor="text1"/>
          <w:szCs w:val="32"/>
        </w:rPr>
        <w:t>3</w:t>
      </w:r>
      <w:r>
        <w:rPr>
          <w:rFonts w:ascii="方正小标宋简体" w:eastAsia="方正小标宋简体" w:hAnsi="等线" w:hint="eastAsia"/>
          <w:color w:val="000000" w:themeColor="text1"/>
          <w:szCs w:val="32"/>
        </w:rPr>
        <w:t>年第25批行政处罚信息公开表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EC4A7F" w:rsidTr="00985C2E">
        <w:trPr>
          <w:cantSplit/>
          <w:jc w:val="center"/>
        </w:trPr>
        <w:tc>
          <w:tcPr>
            <w:tcW w:w="696" w:type="dxa"/>
            <w:vAlign w:val="center"/>
          </w:tcPr>
          <w:bookmarkEnd w:id="0"/>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lastRenderedPageBreak/>
              <w:t>序号</w:t>
            </w:r>
          </w:p>
        </w:tc>
        <w:tc>
          <w:tcPr>
            <w:tcW w:w="1394" w:type="dxa"/>
            <w:vAlign w:val="center"/>
          </w:tcPr>
          <w:p w:rsidR="00EC4A7F" w:rsidRDefault="00EC4A7F" w:rsidP="00985C2E">
            <w:pPr>
              <w:spacing w:line="440" w:lineRule="exact"/>
              <w:ind w:firstLineChars="50" w:firstLine="118"/>
              <w:jc w:val="center"/>
              <w:rPr>
                <w:rFonts w:ascii="仿宋_GB2312" w:hAnsi="仿宋"/>
                <w:color w:val="000000" w:themeColor="text1"/>
                <w:sz w:val="24"/>
              </w:rPr>
            </w:pPr>
            <w:r>
              <w:rPr>
                <w:rFonts w:ascii="黑体" w:eastAsia="黑体" w:hAnsi="宋体" w:cs="宋体" w:hint="eastAsia"/>
                <w:color w:val="000000" w:themeColor="text1"/>
                <w:kern w:val="0"/>
                <w:sz w:val="24"/>
              </w:rPr>
              <w:t>执法决定日期</w:t>
            </w:r>
          </w:p>
        </w:tc>
        <w:tc>
          <w:tcPr>
            <w:tcW w:w="1220" w:type="dxa"/>
            <w:vAlign w:val="center"/>
          </w:tcPr>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执法主体</w:t>
            </w:r>
          </w:p>
        </w:tc>
        <w:tc>
          <w:tcPr>
            <w:tcW w:w="1330" w:type="dxa"/>
            <w:vAlign w:val="center"/>
          </w:tcPr>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执法对象</w:t>
            </w:r>
          </w:p>
        </w:tc>
        <w:tc>
          <w:tcPr>
            <w:tcW w:w="6630" w:type="dxa"/>
            <w:vAlign w:val="center"/>
          </w:tcPr>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违法事实</w:t>
            </w:r>
          </w:p>
        </w:tc>
        <w:tc>
          <w:tcPr>
            <w:tcW w:w="1618" w:type="dxa"/>
            <w:vAlign w:val="center"/>
          </w:tcPr>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处罚依据</w:t>
            </w:r>
          </w:p>
        </w:tc>
        <w:tc>
          <w:tcPr>
            <w:tcW w:w="1980" w:type="dxa"/>
            <w:vAlign w:val="center"/>
          </w:tcPr>
          <w:p w:rsidR="00EC4A7F" w:rsidRDefault="00EC4A7F" w:rsidP="00985C2E">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处罚内容</w:t>
            </w:r>
          </w:p>
        </w:tc>
      </w:tr>
      <w:tr w:rsidR="00EC4A7F" w:rsidTr="00985C2E">
        <w:trPr>
          <w:cantSplit/>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12122综采工作面第37#与38#、47#与48#、52#与53#液压支架错茬大于侧护板厚度2/3；第1#与2#、7#与8#液压支架架间隙为200mm，不符合《12122综采工作面作业规程》中“液压支架错茬不大于侧护板厚度2/3；液压支架架间隙不大于100㎜”的规定。</w:t>
            </w:r>
          </w:p>
        </w:tc>
        <w:tc>
          <w:tcPr>
            <w:tcW w:w="1618" w:type="dxa"/>
            <w:vAlign w:val="center"/>
          </w:tcPr>
          <w:p w:rsidR="00EC4A7F" w:rsidRDefault="00EC4A7F" w:rsidP="00985C2E">
            <w:pPr>
              <w:spacing w:line="300" w:lineRule="exact"/>
              <w:rPr>
                <w:rFonts w:ascii="仿宋_GB2312"/>
                <w:color w:val="000000" w:themeColor="text1"/>
                <w:sz w:val="24"/>
              </w:rPr>
            </w:pPr>
            <w:r>
              <w:rPr>
                <w:rFonts w:ascii="仿宋_GB2312" w:hint="eastAsia"/>
                <w:color w:val="000000" w:themeColor="text1"/>
                <w:sz w:val="24"/>
              </w:rPr>
              <w:t>《中华人民共和国矿山安全法实施条例》第五十四条</w:t>
            </w:r>
          </w:p>
        </w:tc>
        <w:tc>
          <w:tcPr>
            <w:tcW w:w="1980" w:type="dxa"/>
            <w:vAlign w:val="center"/>
          </w:tcPr>
          <w:p w:rsidR="00EC4A7F" w:rsidRDefault="00EC4A7F" w:rsidP="00985C2E">
            <w:pPr>
              <w:spacing w:line="300" w:lineRule="exact"/>
              <w:rPr>
                <w:rFonts w:ascii="仿宋_GB2312"/>
                <w:color w:val="000000" w:themeColor="text1"/>
                <w:sz w:val="24"/>
              </w:rPr>
            </w:pPr>
            <w:r>
              <w:rPr>
                <w:rFonts w:ascii="仿宋_GB2312" w:hint="eastAsia"/>
                <w:color w:val="000000" w:themeColor="text1"/>
                <w:sz w:val="24"/>
              </w:rPr>
              <w:t>罚款人民币壹万元整</w:t>
            </w:r>
          </w:p>
        </w:tc>
      </w:tr>
      <w:tr w:rsidR="00EC4A7F" w:rsidTr="00985C2E">
        <w:trPr>
          <w:cantSplit/>
          <w:trHeight w:val="193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 xml:space="preserve">滕州市东大矿业有限责任公司 </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12317综采工作面轨道顺槽、皮带顺槽超前支护范围内各有2棵单体液压支柱初撑力均为8MPa，不符合该工作面作业规程“超前支护单体液压支柱初撑力不低于11.5 MPa”的规定。</w:t>
            </w:r>
          </w:p>
        </w:tc>
        <w:tc>
          <w:tcPr>
            <w:tcW w:w="1618" w:type="dxa"/>
            <w:vAlign w:val="center"/>
          </w:tcPr>
          <w:p w:rsidR="00EC4A7F" w:rsidRDefault="00EC4A7F" w:rsidP="00985C2E">
            <w:pPr>
              <w:spacing w:line="300" w:lineRule="exact"/>
              <w:rPr>
                <w:rFonts w:ascii="仿宋_GB2312"/>
                <w:b/>
                <w:color w:val="000000" w:themeColor="text1"/>
                <w:sz w:val="24"/>
              </w:rPr>
            </w:pPr>
            <w:r>
              <w:rPr>
                <w:rFonts w:ascii="仿宋_GB2312" w:hint="eastAsia"/>
                <w:color w:val="000000" w:themeColor="text1"/>
                <w:sz w:val="24"/>
              </w:rPr>
              <w:t>《中华人民共和国矿山安全法实施条例》第五十四条</w:t>
            </w:r>
          </w:p>
        </w:tc>
        <w:tc>
          <w:tcPr>
            <w:tcW w:w="1980" w:type="dxa"/>
            <w:vAlign w:val="center"/>
          </w:tcPr>
          <w:p w:rsidR="00EC4A7F" w:rsidRDefault="00EC4A7F" w:rsidP="00985C2E">
            <w:pPr>
              <w:spacing w:line="300" w:lineRule="exact"/>
              <w:rPr>
                <w:rFonts w:ascii="仿宋_GB2312"/>
                <w:color w:val="000000" w:themeColor="text1"/>
                <w:sz w:val="24"/>
              </w:rPr>
            </w:pPr>
            <w:r>
              <w:rPr>
                <w:rFonts w:ascii="仿宋_GB2312" w:hint="eastAsia"/>
                <w:color w:val="000000" w:themeColor="text1"/>
                <w:sz w:val="24"/>
              </w:rPr>
              <w:t>罚款人民币伍仟元整</w:t>
            </w:r>
          </w:p>
        </w:tc>
      </w:tr>
      <w:tr w:rsidR="00EC4A7F" w:rsidTr="00985C2E">
        <w:trPr>
          <w:cantSplit/>
          <w:trHeight w:val="1748"/>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3</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12321工作面切眼掘进工作面顶部1棵锚杆扭矩力达不到120N·m，切眼开门口处右帮片帮，未及时补打锚杆，不符合《12321工作面切眼掘进工作面作业规程》中“顶部锚杆扭矩力不小于120N·m，片帮时应及时采取补打锚杆等措施”的规定。</w:t>
            </w:r>
          </w:p>
        </w:tc>
        <w:tc>
          <w:tcPr>
            <w:tcW w:w="1618" w:type="dxa"/>
            <w:vAlign w:val="center"/>
          </w:tcPr>
          <w:p w:rsidR="00EC4A7F" w:rsidRDefault="00EC4A7F" w:rsidP="00985C2E">
            <w:pPr>
              <w:spacing w:line="300" w:lineRule="exact"/>
              <w:rPr>
                <w:rFonts w:ascii="仿宋_GB2312"/>
                <w:color w:val="000000" w:themeColor="text1"/>
                <w:sz w:val="24"/>
              </w:rPr>
            </w:pPr>
            <w:r>
              <w:rPr>
                <w:rFonts w:ascii="仿宋_GB2312" w:hint="eastAsia"/>
                <w:color w:val="000000" w:themeColor="text1"/>
                <w:sz w:val="24"/>
              </w:rPr>
              <w:t>《中华人民共和国矿山安全法实施条例》第五十四条</w:t>
            </w:r>
          </w:p>
        </w:tc>
        <w:tc>
          <w:tcPr>
            <w:tcW w:w="1980" w:type="dxa"/>
            <w:vAlign w:val="center"/>
          </w:tcPr>
          <w:p w:rsidR="00EC4A7F" w:rsidRDefault="00EC4A7F" w:rsidP="00985C2E">
            <w:pPr>
              <w:spacing w:line="300" w:lineRule="exact"/>
              <w:rPr>
                <w:rFonts w:ascii="仿宋_GB2312"/>
                <w:color w:val="000000" w:themeColor="text1"/>
                <w:sz w:val="24"/>
              </w:rPr>
            </w:pPr>
            <w:r>
              <w:rPr>
                <w:rFonts w:ascii="仿宋_GB2312" w:hint="eastAsia"/>
                <w:color w:val="000000" w:themeColor="text1"/>
                <w:sz w:val="24"/>
              </w:rPr>
              <w:t>罚款人民币伍仟元整</w:t>
            </w:r>
          </w:p>
        </w:tc>
      </w:tr>
      <w:tr w:rsidR="00EC4A7F" w:rsidTr="00985C2E">
        <w:trPr>
          <w:cantSplit/>
          <w:trHeight w:val="1764"/>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4</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 xml:space="preserve">滕州市东大矿业有限责任公司 </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12321皮带巷掘进工作面带式输送机尾卸载滚筒处一侧容易碰到的机械外露转动部分没有加装护罩或者遮拦等防护设施，不符合《煤矿安全规程》第四百四十四条的规定</w:t>
            </w:r>
          </w:p>
        </w:tc>
        <w:tc>
          <w:tcPr>
            <w:tcW w:w="1618" w:type="dxa"/>
            <w:vAlign w:val="center"/>
          </w:tcPr>
          <w:p w:rsidR="00EC4A7F" w:rsidRDefault="00EC4A7F" w:rsidP="00985C2E">
            <w:pPr>
              <w:spacing w:line="300" w:lineRule="exact"/>
              <w:rPr>
                <w:color w:val="000000" w:themeColor="text1"/>
                <w:sz w:val="24"/>
              </w:rPr>
            </w:pPr>
            <w:r>
              <w:rPr>
                <w:rFonts w:hint="eastAsia"/>
                <w:color w:val="000000" w:themeColor="text1"/>
                <w:sz w:val="24"/>
              </w:rPr>
              <w:t>《中华人民共和国安全生产法》第九十九条第二项</w:t>
            </w:r>
          </w:p>
        </w:tc>
        <w:tc>
          <w:tcPr>
            <w:tcW w:w="1980" w:type="dxa"/>
            <w:vAlign w:val="center"/>
          </w:tcPr>
          <w:p w:rsidR="00EC4A7F" w:rsidRDefault="00EC4A7F" w:rsidP="00985C2E">
            <w:pPr>
              <w:spacing w:line="300" w:lineRule="exact"/>
              <w:rPr>
                <w:color w:val="000000" w:themeColor="text1"/>
                <w:sz w:val="24"/>
              </w:rPr>
            </w:pPr>
            <w:r>
              <w:rPr>
                <w:rFonts w:hint="eastAsia"/>
                <w:color w:val="000000" w:themeColor="text1"/>
                <w:sz w:val="24"/>
              </w:rPr>
              <w:t>罚款人民币贰万元整</w:t>
            </w:r>
          </w:p>
        </w:tc>
      </w:tr>
      <w:tr w:rsidR="00EC4A7F" w:rsidTr="00985C2E">
        <w:trPr>
          <w:cantSplit/>
          <w:trHeight w:val="2488"/>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5</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 xml:space="preserve">滕州市东大矿业有限责任公司公司 </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2023年5月16日现场检查时发现， 12317综采工作面皮带顺槽（带式输送机巷道）消防支管1处间距为60m，不符合《煤矿安全规程》第二百四十九条第一款规定。</w:t>
            </w:r>
          </w:p>
        </w:tc>
        <w:tc>
          <w:tcPr>
            <w:tcW w:w="1618" w:type="dxa"/>
            <w:vAlign w:val="center"/>
          </w:tcPr>
          <w:p w:rsidR="00EC4A7F" w:rsidRDefault="00EC4A7F" w:rsidP="00985C2E">
            <w:pPr>
              <w:spacing w:line="300" w:lineRule="exact"/>
              <w:rPr>
                <w:color w:val="000000" w:themeColor="text1"/>
                <w:sz w:val="24"/>
              </w:rPr>
            </w:pPr>
            <w:r>
              <w:rPr>
                <w:rFonts w:hint="eastAsia"/>
                <w:color w:val="000000" w:themeColor="text1"/>
                <w:sz w:val="24"/>
              </w:rPr>
              <w:t>《中华人民共和国安全生产法》第九十九条第二项</w:t>
            </w:r>
          </w:p>
        </w:tc>
        <w:tc>
          <w:tcPr>
            <w:tcW w:w="1980" w:type="dxa"/>
            <w:vAlign w:val="center"/>
          </w:tcPr>
          <w:p w:rsidR="00EC4A7F" w:rsidRDefault="00EC4A7F" w:rsidP="00985C2E">
            <w:pPr>
              <w:spacing w:line="300" w:lineRule="exact"/>
              <w:rPr>
                <w:color w:val="000000" w:themeColor="text1"/>
                <w:sz w:val="24"/>
              </w:rPr>
            </w:pPr>
            <w:r>
              <w:rPr>
                <w:rFonts w:hint="eastAsia"/>
                <w:color w:val="000000" w:themeColor="text1"/>
                <w:sz w:val="24"/>
              </w:rPr>
              <w:t>罚款人民币贰万元整</w:t>
            </w:r>
          </w:p>
        </w:tc>
      </w:tr>
      <w:tr w:rsidR="00EC4A7F" w:rsidTr="00985C2E">
        <w:trPr>
          <w:cantSplit/>
          <w:trHeight w:val="2318"/>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6</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查阅安全监控系统发现，矿2023年5月10日早班现场测试12321皮带顺槽回风口甲烷电闭锁试验期间，12321皮带顺槽掘进工作面掘进机馈电开关处于无电状态，不符合《煤矿安全规程》第四百九十二第二款的规定。</w:t>
            </w:r>
          </w:p>
        </w:tc>
        <w:tc>
          <w:tcPr>
            <w:tcW w:w="1618" w:type="dxa"/>
            <w:vAlign w:val="center"/>
          </w:tcPr>
          <w:p w:rsidR="00EC4A7F" w:rsidRDefault="00EC4A7F" w:rsidP="00985C2E">
            <w:pPr>
              <w:spacing w:line="300" w:lineRule="exact"/>
              <w:rPr>
                <w:color w:val="000000" w:themeColor="text1"/>
                <w:sz w:val="24"/>
              </w:rPr>
            </w:pPr>
            <w:r>
              <w:rPr>
                <w:rFonts w:hint="eastAsia"/>
                <w:color w:val="000000" w:themeColor="text1"/>
                <w:sz w:val="24"/>
              </w:rPr>
              <w:t>《中华人民共和国安全生产法》第九十九条第二项</w:t>
            </w:r>
          </w:p>
        </w:tc>
        <w:tc>
          <w:tcPr>
            <w:tcW w:w="1980" w:type="dxa"/>
            <w:vAlign w:val="center"/>
          </w:tcPr>
          <w:p w:rsidR="00EC4A7F" w:rsidRDefault="00EC4A7F" w:rsidP="00985C2E">
            <w:pPr>
              <w:spacing w:line="300" w:lineRule="exact"/>
              <w:rPr>
                <w:color w:val="000000" w:themeColor="text1"/>
                <w:sz w:val="24"/>
              </w:rPr>
            </w:pPr>
            <w:r>
              <w:rPr>
                <w:rFonts w:hint="eastAsia"/>
                <w:color w:val="000000" w:themeColor="text1"/>
                <w:sz w:val="24"/>
              </w:rPr>
              <w:t>罚款人民币壹万元整</w:t>
            </w:r>
          </w:p>
        </w:tc>
      </w:tr>
      <w:tr w:rsidR="00EC4A7F" w:rsidTr="00985C2E">
        <w:trPr>
          <w:cantSplit/>
          <w:trHeight w:val="1740"/>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color w:val="000000" w:themeColor="text1"/>
                <w:sz w:val="24"/>
              </w:rPr>
              <w:lastRenderedPageBreak/>
              <w:t>7</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北翼轨道巷（西）外侧提升调度绞车上部平车场处未安设防止带绳车辆误入非运行区段的阻车器，不符合《煤矿安全规程》第三百八十七条第一款第二项的规定。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《中华人民共和国安全生产法》第九十九条第二项</w:t>
            </w:r>
          </w:p>
        </w:tc>
        <w:tc>
          <w:tcPr>
            <w:tcW w:w="1980"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color w:val="000000" w:themeColor="text1"/>
                <w:sz w:val="24"/>
              </w:rPr>
              <w:t>罚款人民币壹万元整</w:t>
            </w:r>
          </w:p>
        </w:tc>
      </w:tr>
      <w:tr w:rsidR="00EC4A7F" w:rsidTr="00985C2E">
        <w:trPr>
          <w:cantSplit/>
          <w:trHeight w:val="1774"/>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8</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经核实，2023年5月15日夜班，12321工作面切眼掘进工作面未按规定进行煤层注水，不符合《12321工作面切眼掘进工作面作业规程》中“每班对煤层进行注水”的规定。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《安全生产违法行为行政处罚办法》第四十五条第一项</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警告、罚款人民币贰万元整</w:t>
            </w:r>
          </w:p>
        </w:tc>
      </w:tr>
      <w:tr w:rsidR="00EC4A7F" w:rsidTr="00985C2E">
        <w:trPr>
          <w:cantSplit/>
          <w:trHeight w:val="1807"/>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9</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北翼皮带巷架空乘人装置第101#钢梁处的托绳轮损坏，未及时检查维修，不符合《煤矿安全规程》第四条第五款的规定。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《中华人民共和国安全生产法》第九十九条第三项</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176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10</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b/>
                <w:bCs/>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2023年5月16日现场检查时发现，12317综采工作面皮带顺槽一处压风自救装置压力表损坏未及时维修，不符合《煤矿安全规程》第四条第五款规定。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《中华人民共和国安全生产法》第九十九条第三项</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1852"/>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11</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b/>
                <w:bCs/>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四（上）采区2#联络巷掘工作面2023年5月11日将使用综掘机（功率160KW）掘进施工改为炮掘耙装机（功率60KW）施工，负荷变化后未及时对配电系统断电保护装置进行整定，不符合《煤矿安全规程》第四百八十三条第二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《中华人民共和国安全生产法》第九十九条第三项</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207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12</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矿井2022年1月至今未对滨湖和大坞区域变电所与矿井01号塔杆连接的2路35KV供电电缆（YJV22-35/3X150）进行每年一次的泄漏和耐压试验（根据2020年5月30日东大矿业有限责任公司与国网山东省电力公司签订的《高压供用电合同》约定，地埋YJV22-35/3X150型高压电缆的产权和使用维护义务人为东大矿业有限责任公司），不符合《煤矿安全规程》第四百八十三条第二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《中华人民共和国安全生产法》第九十九条第三项</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1752"/>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13</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矿井中央泵3#排水泵真空泵漏气，现场测试无法正常启动，未及时维护，不符合《中华人民共和国矿山安全法实施条例》第十五条第一款的规定。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《中华人民共和国矿山安全法实施条例》</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1841"/>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14</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北翼皮带下山一处编号MB-1-11的永久密闭墙外未设置栅栏，不符合《煤矿安全规程》第二百七十八条第一款第一项的规定。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罚款人民币伍仟元整</w:t>
            </w:r>
          </w:p>
        </w:tc>
      </w:tr>
      <w:tr w:rsidR="00EC4A7F" w:rsidTr="00985C2E">
        <w:trPr>
          <w:cantSplit/>
          <w:trHeight w:val="166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15</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北翼皮带巷（西）中部30m皮带跑偏、与H架磨擦，未及时消除事故隐患，不符合《煤矿安全规程》第四条第五款的规定。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罚款人民币伍仟元整</w:t>
            </w:r>
          </w:p>
        </w:tc>
      </w:tr>
      <w:tr w:rsidR="00EC4A7F" w:rsidTr="00985C2E">
        <w:trPr>
          <w:cantSplit/>
          <w:trHeight w:val="207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16</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12317综采工作面自2023年3月推采以来，矿未及时进行顶板初次来压和周期来压观测并记录，不符合《煤矿安全规程》第一百零四条第一款的规定。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罚款人民币伍仟元整</w:t>
            </w:r>
          </w:p>
        </w:tc>
      </w:tr>
      <w:tr w:rsidR="00EC4A7F" w:rsidTr="00985C2E">
        <w:trPr>
          <w:cantSplit/>
          <w:trHeight w:val="207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17</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12317综采工作面开采的12下煤层为自燃煤层，工作面轨道顺槽与相邻12315工作面采空区留有18m宽的煤柱，现场检查时发现轨道顺槽超前区域的煤柱已遭遇矿压破坏，矿未制定防治煤柱破坏区自然发火的技术措施，不符合《煤矿安全规程》第二百六十五条第一款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罚款人民币壹万元整</w:t>
            </w:r>
          </w:p>
        </w:tc>
      </w:tr>
      <w:tr w:rsidR="00EC4A7F" w:rsidTr="00985C2E">
        <w:trPr>
          <w:cantSplit/>
          <w:trHeight w:val="1564"/>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18</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四（上）采区皮带巷与四（上）采区1#联络巷相交处顶板下沉且有悬矸，未及时维修，不能保证行人和运输安全，不符合《煤矿安全规程》第一百二十五条的规定。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罚款人民币伍仟元整</w:t>
            </w:r>
          </w:p>
        </w:tc>
      </w:tr>
      <w:tr w:rsidR="00EC4A7F" w:rsidTr="00985C2E">
        <w:trPr>
          <w:cantSplit/>
          <w:trHeight w:val="2073"/>
          <w:jc w:val="center"/>
        </w:trPr>
        <w:tc>
          <w:tcPr>
            <w:tcW w:w="696"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19</w:t>
            </w:r>
          </w:p>
        </w:tc>
        <w:tc>
          <w:tcPr>
            <w:tcW w:w="1394"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2023年6月12日</w:t>
            </w:r>
          </w:p>
        </w:tc>
        <w:tc>
          <w:tcPr>
            <w:tcW w:w="122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EC4A7F" w:rsidRDefault="00EC4A7F" w:rsidP="00985C2E">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滕州市东大矿业有限责任公司</w:t>
            </w:r>
          </w:p>
        </w:tc>
        <w:tc>
          <w:tcPr>
            <w:tcW w:w="6630" w:type="dxa"/>
            <w:vAlign w:val="center"/>
          </w:tcPr>
          <w:p w:rsidR="00EC4A7F" w:rsidRDefault="00EC4A7F" w:rsidP="00985C2E">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矿井由大坞110KV区域变电所供电的电源线路上，大坞110KV区域变电所与1号塔杆（首杆）之间通过70m地埋YJV22-35/3X150型高压电缆连接，其中大坞110KV区域变电所院墙内30m，院墙外与东大煤矿1号塔杆之间农田中地埋40m。根据2020年5月30日东大矿业有限责任公司与国网山东省电力公司签订的《高压供用电合同》约定，70m地埋YJV22-35/3X150型高压电缆及至矿井的全部塔杆（共10棵）的产权和使用维护义务人为东大矿业有限责任公司。2023年5月17日现场检查时发现，1号塔杆基座下及周围土地已被种植玉米，塔杆基座下被用作灌溉用水渠，地埋高压电缆保护管在由地下转入1号塔杆的地表处被破坏，导致高压电缆在地表处裸露（见附图），存在因农田机械耕作、灌溉及秋收后灭茬用火时损坏地表处裸露的高压电缆，易造成矿井大坞110KV供电中断的重大风险，矿井未辨识出该风险并落实分级管控措施，不符合《中华人民共和国安全生产法》第四十一条第一款规定。</w:t>
            </w:r>
          </w:p>
        </w:tc>
        <w:tc>
          <w:tcPr>
            <w:tcW w:w="1618" w:type="dxa"/>
            <w:vAlign w:val="center"/>
          </w:tcPr>
          <w:p w:rsidR="00EC4A7F" w:rsidRDefault="00EC4A7F" w:rsidP="00985C2E">
            <w:pPr>
              <w:spacing w:line="300" w:lineRule="exact"/>
              <w:rPr>
                <w:rFonts w:ascii="仿宋_GB2312" w:hAnsi="仿宋"/>
                <w:color w:val="000000" w:themeColor="text1"/>
                <w:sz w:val="24"/>
              </w:rPr>
            </w:pPr>
            <w:r>
              <w:rPr>
                <w:rFonts w:ascii="仿宋_GB2312" w:hAnsi="仿宋" w:hint="eastAsia"/>
                <w:color w:val="000000" w:themeColor="text1"/>
                <w:sz w:val="24"/>
              </w:rPr>
              <w:t xml:space="preserve">《中华人民共和国安全生产法》第一百零一条第四项 </w:t>
            </w:r>
          </w:p>
        </w:tc>
        <w:tc>
          <w:tcPr>
            <w:tcW w:w="1980" w:type="dxa"/>
            <w:vAlign w:val="center"/>
          </w:tcPr>
          <w:p w:rsidR="00EC4A7F" w:rsidRDefault="00EC4A7F" w:rsidP="00985C2E">
            <w:pPr>
              <w:spacing w:line="300" w:lineRule="exact"/>
              <w:rPr>
                <w:rFonts w:ascii="仿宋_GB2312" w:hAnsi="仿宋"/>
                <w:sz w:val="24"/>
              </w:rPr>
            </w:pPr>
            <w:r>
              <w:rPr>
                <w:rFonts w:ascii="仿宋_GB2312" w:hAnsi="仿宋" w:hint="eastAsia"/>
                <w:sz w:val="24"/>
              </w:rPr>
              <w:t>罚款人民币叁万元整</w:t>
            </w:r>
          </w:p>
        </w:tc>
      </w:tr>
    </w:tbl>
    <w:p w:rsidR="00EC4A7F" w:rsidRDefault="00EC4A7F" w:rsidP="00EC4A7F">
      <w:pPr>
        <w:spacing w:line="560" w:lineRule="exact"/>
        <w:rPr>
          <w:color w:val="000000" w:themeColor="text1"/>
          <w:sz w:val="21"/>
          <w:szCs w:val="21"/>
        </w:rPr>
      </w:pPr>
    </w:p>
    <w:p w:rsidR="00F03BB3" w:rsidRDefault="00F03BB3"/>
    <w:sectPr w:rsidR="00F03BB3">
      <w:pgSz w:w="16840" w:h="11907" w:orient="landscape"/>
      <w:pgMar w:top="2098" w:right="1474" w:bottom="1984"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E8" w:rsidRDefault="002352E8" w:rsidP="00EC4A7F">
      <w:r>
        <w:separator/>
      </w:r>
    </w:p>
  </w:endnote>
  <w:endnote w:type="continuationSeparator" w:id="0">
    <w:p w:rsidR="002352E8" w:rsidRDefault="002352E8" w:rsidP="00E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7" w:rsidRDefault="002352E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6</w:t>
    </w:r>
    <w:r>
      <w:fldChar w:fldCharType="end"/>
    </w:r>
  </w:p>
  <w:p w:rsidR="00232257" w:rsidRDefault="002352E8">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7" w:rsidRDefault="002352E8">
    <w:pPr>
      <w:pStyle w:val="a3"/>
      <w:framePr w:wrap="around" w:vAnchor="text" w:hAnchor="margin" w:xAlign="center" w:y="1"/>
      <w:rPr>
        <w:rStyle w:val="a5"/>
      </w:rPr>
    </w:pPr>
    <w:r>
      <w:fldChar w:fldCharType="begin"/>
    </w:r>
    <w:r>
      <w:rPr>
        <w:rStyle w:val="a5"/>
      </w:rPr>
      <w:instrText xml:space="preserve">PAGE  </w:instrText>
    </w:r>
    <w:r>
      <w:fldChar w:fldCharType="separate"/>
    </w:r>
    <w:r w:rsidR="00EC4A7F">
      <w:rPr>
        <w:rStyle w:val="a5"/>
        <w:noProof/>
      </w:rPr>
      <w:t>2</w:t>
    </w:r>
    <w:r>
      <w:fldChar w:fldCharType="end"/>
    </w:r>
  </w:p>
  <w:p w:rsidR="00232257" w:rsidRDefault="002352E8">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E8" w:rsidRDefault="002352E8" w:rsidP="00EC4A7F">
      <w:r>
        <w:separator/>
      </w:r>
    </w:p>
  </w:footnote>
  <w:footnote w:type="continuationSeparator" w:id="0">
    <w:p w:rsidR="002352E8" w:rsidRDefault="002352E8" w:rsidP="00EC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7F"/>
    <w:rsid w:val="002352E8"/>
    <w:rsid w:val="00EC4A7F"/>
    <w:rsid w:val="00F0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B2405-E85A-4732-A08C-84F3F827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7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C4A7F"/>
    <w:pPr>
      <w:tabs>
        <w:tab w:val="center" w:pos="4153"/>
        <w:tab w:val="right" w:pos="8306"/>
      </w:tabs>
      <w:snapToGrid w:val="0"/>
      <w:jc w:val="left"/>
    </w:pPr>
    <w:rPr>
      <w:sz w:val="18"/>
      <w:szCs w:val="18"/>
    </w:rPr>
  </w:style>
  <w:style w:type="character" w:customStyle="1" w:styleId="a4">
    <w:name w:val="页脚 字符"/>
    <w:basedOn w:val="a0"/>
    <w:link w:val="a3"/>
    <w:qFormat/>
    <w:rsid w:val="00EC4A7F"/>
    <w:rPr>
      <w:rFonts w:ascii="Times New Roman" w:eastAsia="仿宋_GB2312" w:hAnsi="Times New Roman" w:cs="Times New Roman"/>
      <w:sz w:val="18"/>
      <w:szCs w:val="18"/>
    </w:rPr>
  </w:style>
  <w:style w:type="character" w:styleId="a5">
    <w:name w:val="page number"/>
    <w:basedOn w:val="a0"/>
    <w:qFormat/>
    <w:rsid w:val="00EC4A7F"/>
  </w:style>
  <w:style w:type="paragraph" w:styleId="a6">
    <w:name w:val="header"/>
    <w:basedOn w:val="a"/>
    <w:link w:val="a7"/>
    <w:uiPriority w:val="99"/>
    <w:unhideWhenUsed/>
    <w:rsid w:val="00EC4A7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4A7F"/>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530</Words>
  <Characters>3027</Characters>
  <Application>Microsoft Office Word</Application>
  <DocSecurity>0</DocSecurity>
  <Lines>25</Lines>
  <Paragraphs>7</Paragraphs>
  <ScaleCrop>false</ScaleCrop>
  <Company>sdj</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2023-06-13T07:50:00Z</dcterms:created>
  <dcterms:modified xsi:type="dcterms:W3CDTF">2023-06-13T07:52:00Z</dcterms:modified>
</cp:coreProperties>
</file>