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A" w:rsidRPr="00650E6C" w:rsidRDefault="00BA0DDA" w:rsidP="00BA0DDA">
      <w:pPr>
        <w:spacing w:line="600" w:lineRule="exact"/>
        <w:jc w:val="left"/>
        <w:rPr>
          <w:rFonts w:ascii="仿宋_GB2312" w:hAnsi="等线" w:cs="Times New Roman"/>
          <w:szCs w:val="32"/>
        </w:rPr>
      </w:pPr>
      <w:r w:rsidRPr="00650E6C">
        <w:rPr>
          <w:rFonts w:ascii="仿宋_GB2312" w:hAnsi="等线" w:cs="Times New Roman" w:hint="eastAsia"/>
          <w:szCs w:val="32"/>
        </w:rPr>
        <w:t>附件</w:t>
      </w:r>
    </w:p>
    <w:p w:rsidR="00BA0DDA" w:rsidRPr="00650E6C" w:rsidRDefault="00BA0DDA" w:rsidP="00BA0DDA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 w:rsidRPr="00BA0DDA">
        <w:rPr>
          <w:rFonts w:ascii="方正小标宋简体" w:eastAsia="方正小标宋简体" w:hAnsi="等线" w:cs="Times New Roman" w:hint="eastAsia"/>
          <w:szCs w:val="32"/>
        </w:rPr>
        <w:t>监察</w:t>
      </w:r>
      <w:r w:rsidRPr="00650E6C">
        <w:rPr>
          <w:rFonts w:ascii="方正小标宋简体" w:eastAsia="方正小标宋简体" w:hAnsi="等线" w:cs="Times New Roman" w:hint="eastAsia"/>
          <w:szCs w:val="32"/>
        </w:rPr>
        <w:t>执法四处2023年第27批行政处罚信息公开表</w:t>
      </w:r>
    </w:p>
    <w:bookmarkEnd w:id="0"/>
    <w:p w:rsidR="00BA0DDA" w:rsidRPr="00650E6C" w:rsidRDefault="00BA0DDA" w:rsidP="00BA0DDA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 w:rsidRPr="00650E6C"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5354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9"/>
        <w:gridCol w:w="1076"/>
        <w:gridCol w:w="1113"/>
        <w:gridCol w:w="1094"/>
        <w:gridCol w:w="4798"/>
        <w:gridCol w:w="1769"/>
        <w:gridCol w:w="3078"/>
      </w:tblGrid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1"/>
                <w:szCs w:val="21"/>
              </w:rPr>
            </w:pPr>
            <w:r w:rsidRPr="00650E6C">
              <w:rPr>
                <w:rFonts w:ascii="等线" w:eastAsia="等线" w:hAnsi="等线" w:hint="eastAsia"/>
                <w:b/>
                <w:sz w:val="20"/>
                <w:szCs w:val="21"/>
              </w:rPr>
              <w:t>序号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650E6C">
              <w:rPr>
                <w:rFonts w:ascii="等线" w:eastAsia="等线" w:hAnsi="等线" w:hint="eastAsia"/>
                <w:b/>
                <w:sz w:val="20"/>
                <w:szCs w:val="21"/>
              </w:rPr>
              <w:t>执法决定日期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650E6C">
              <w:rPr>
                <w:rFonts w:ascii="等线" w:eastAsia="等线" w:hAnsi="等线" w:hint="eastAsia"/>
                <w:b/>
                <w:sz w:val="20"/>
                <w:szCs w:val="21"/>
              </w:rPr>
              <w:t>执法主体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650E6C">
              <w:rPr>
                <w:rFonts w:ascii="等线" w:eastAsia="等线" w:hAnsi="等线" w:hint="eastAsia"/>
                <w:b/>
                <w:sz w:val="20"/>
                <w:szCs w:val="21"/>
              </w:rPr>
              <w:t>执法对象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650E6C">
              <w:rPr>
                <w:rFonts w:ascii="等线" w:eastAsia="等线" w:hAnsi="等线" w:hint="eastAsia"/>
                <w:b/>
                <w:sz w:val="20"/>
                <w:szCs w:val="21"/>
              </w:rPr>
              <w:t>违法事实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650E6C">
              <w:rPr>
                <w:rFonts w:ascii="等线" w:eastAsia="等线" w:hAnsi="等线" w:hint="eastAsia"/>
                <w:b/>
                <w:sz w:val="20"/>
                <w:szCs w:val="21"/>
              </w:rPr>
              <w:t>处罚依据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650E6C">
              <w:rPr>
                <w:rFonts w:ascii="等线" w:eastAsia="等线" w:hAnsi="等线" w:hint="eastAsia"/>
                <w:b/>
                <w:sz w:val="20"/>
                <w:szCs w:val="21"/>
              </w:rPr>
              <w:t>处罚内容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 xml:space="preserve"> 山东鲁泰控股集团有限公司太平煤矿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8312</w:t>
            </w:r>
            <w:proofErr w:type="gramStart"/>
            <w:r w:rsidRPr="00650E6C">
              <w:rPr>
                <w:rFonts w:ascii="仿宋_GB2312" w:hAnsi="等线" w:hint="eastAsia"/>
                <w:sz w:val="20"/>
              </w:rPr>
              <w:t>一</w:t>
            </w:r>
            <w:proofErr w:type="gramEnd"/>
            <w:r w:rsidRPr="00650E6C">
              <w:rPr>
                <w:rFonts w:ascii="仿宋_GB2312" w:hAnsi="等线" w:hint="eastAsia"/>
                <w:sz w:val="20"/>
              </w:rPr>
              <w:t>分层工作面第90#与第91#，第77#与第78#液压支架</w:t>
            </w:r>
            <w:proofErr w:type="gramStart"/>
            <w:r w:rsidRPr="00650E6C">
              <w:rPr>
                <w:rFonts w:ascii="仿宋_GB2312" w:hAnsi="等线" w:hint="eastAsia"/>
                <w:sz w:val="20"/>
              </w:rPr>
              <w:t>错茬超过侧</w:t>
            </w:r>
            <w:proofErr w:type="gramEnd"/>
            <w:r w:rsidRPr="00650E6C">
              <w:rPr>
                <w:rFonts w:ascii="仿宋_GB2312" w:hAnsi="等线" w:hint="eastAsia"/>
                <w:sz w:val="20"/>
              </w:rPr>
              <w:t>护板高度的2/3，不符合《8312一分层工作面作业规程》中“相邻支架错茬不超过侧护板高度2/3”的规定。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《中华人民共和国矿山安全法实施条例》第五十四条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 xml:space="preserve"> 山东鲁泰控股集团有限公司太平煤矿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8306回风联络巷斜长约80m，属于采区避灾路线，巷道内未设置压风管路、供水管路及相应的阀门，不符合《煤矿安全规程》第六百八十七条第一款、第二款的规定。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《中华人民共和国安全生产法》第九十九条第二项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罚款人民币壹万伍千元整（￥15,000.00）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 xml:space="preserve"> 山东鲁泰控股集团有限公司太平煤矿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矿井开采的3煤层为自燃煤层，8306</w:t>
            </w:r>
            <w:proofErr w:type="gramStart"/>
            <w:r w:rsidRPr="00650E6C">
              <w:rPr>
                <w:rFonts w:ascii="仿宋_GB2312" w:hAnsi="等线" w:hint="eastAsia"/>
                <w:sz w:val="20"/>
              </w:rPr>
              <w:t>一</w:t>
            </w:r>
            <w:proofErr w:type="gramEnd"/>
            <w:r w:rsidRPr="00650E6C">
              <w:rPr>
                <w:rFonts w:ascii="仿宋_GB2312" w:hAnsi="等线" w:hint="eastAsia"/>
                <w:sz w:val="20"/>
              </w:rPr>
              <w:t>分层</w:t>
            </w:r>
            <w:proofErr w:type="gramStart"/>
            <w:r w:rsidRPr="00650E6C">
              <w:rPr>
                <w:rFonts w:ascii="仿宋_GB2312" w:hAnsi="等线" w:hint="eastAsia"/>
                <w:sz w:val="20"/>
              </w:rPr>
              <w:t>切眼扩刷</w:t>
            </w:r>
            <w:proofErr w:type="gramEnd"/>
            <w:r w:rsidRPr="00650E6C">
              <w:rPr>
                <w:rFonts w:ascii="仿宋_GB2312" w:hAnsi="等线" w:hint="eastAsia"/>
                <w:sz w:val="20"/>
              </w:rPr>
              <w:t>完毕后（宽约7m）长期停工（超过2年），矿井</w:t>
            </w:r>
            <w:proofErr w:type="gramStart"/>
            <w:r w:rsidRPr="00650E6C">
              <w:rPr>
                <w:rFonts w:ascii="仿宋_GB2312" w:hAnsi="等线" w:hint="eastAsia"/>
                <w:sz w:val="20"/>
              </w:rPr>
              <w:t>未分析</w:t>
            </w:r>
            <w:proofErr w:type="gramEnd"/>
            <w:r w:rsidRPr="00650E6C">
              <w:rPr>
                <w:rFonts w:ascii="仿宋_GB2312" w:hAnsi="等线" w:hint="eastAsia"/>
                <w:sz w:val="20"/>
              </w:rPr>
              <w:t>辨识两帮裸露煤体破碎区域可能自然发火的安全风险，并采取相应的管控措施，不符合《中华人民共和国安全生产法》第四十一条第一款的规定。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《中华人民共和国安全生产法》第一百零一条第四项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罚款人民币壹万伍千元整（￥15,000.00）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 xml:space="preserve"> 山东鲁泰控股集团有限公司太平煤矿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8306</w:t>
            </w:r>
            <w:proofErr w:type="gramStart"/>
            <w:r w:rsidRPr="00650E6C">
              <w:rPr>
                <w:rFonts w:ascii="仿宋_GB2312" w:hAnsi="等线" w:hint="eastAsia"/>
                <w:sz w:val="20"/>
              </w:rPr>
              <w:t>一</w:t>
            </w:r>
            <w:proofErr w:type="gramEnd"/>
            <w:r w:rsidRPr="00650E6C">
              <w:rPr>
                <w:rFonts w:ascii="仿宋_GB2312" w:hAnsi="等线" w:hint="eastAsia"/>
                <w:sz w:val="20"/>
              </w:rPr>
              <w:t>分层上轨道顺槽与8306</w:t>
            </w:r>
            <w:proofErr w:type="gramStart"/>
            <w:r w:rsidRPr="00650E6C">
              <w:rPr>
                <w:rFonts w:ascii="仿宋_GB2312" w:hAnsi="等线" w:hint="eastAsia"/>
                <w:sz w:val="20"/>
              </w:rPr>
              <w:t>一</w:t>
            </w:r>
            <w:proofErr w:type="gramEnd"/>
            <w:r w:rsidRPr="00650E6C">
              <w:rPr>
                <w:rFonts w:ascii="仿宋_GB2312" w:hAnsi="等线" w:hint="eastAsia"/>
                <w:sz w:val="20"/>
              </w:rPr>
              <w:t>分层皮带顺槽之间的联络巷（长约200m）是需要通风行人的巷道，矿井在巷道内构筑的2道风门无调节风窗，巷道内风流速度低于0.15m/s，不符合《煤矿安全规程》第一百三十六条第一款的规定。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《中华人民共和国矿山安全法实施条例》第五十四条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lastRenderedPageBreak/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 xml:space="preserve"> 山东鲁泰控股集团有限公司太平煤矿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8306</w:t>
            </w:r>
            <w:proofErr w:type="gramStart"/>
            <w:r w:rsidRPr="00650E6C">
              <w:rPr>
                <w:rFonts w:ascii="仿宋_GB2312" w:hAnsi="等线" w:hint="eastAsia"/>
                <w:sz w:val="20"/>
              </w:rPr>
              <w:t>一</w:t>
            </w:r>
            <w:proofErr w:type="gramEnd"/>
            <w:r w:rsidRPr="00650E6C">
              <w:rPr>
                <w:rFonts w:ascii="仿宋_GB2312" w:hAnsi="等线" w:hint="eastAsia"/>
                <w:sz w:val="20"/>
              </w:rPr>
              <w:t>分层</w:t>
            </w:r>
            <w:proofErr w:type="gramStart"/>
            <w:r w:rsidRPr="00650E6C">
              <w:rPr>
                <w:rFonts w:ascii="仿宋_GB2312" w:hAnsi="等线" w:hint="eastAsia"/>
                <w:sz w:val="20"/>
              </w:rPr>
              <w:t>下轨顺反向</w:t>
            </w:r>
            <w:proofErr w:type="gramEnd"/>
            <w:r w:rsidRPr="00650E6C">
              <w:rPr>
                <w:rFonts w:ascii="仿宋_GB2312" w:hAnsi="等线" w:hint="eastAsia"/>
                <w:sz w:val="20"/>
              </w:rPr>
              <w:t>掘进工作面只安设有1台气动隔膜泵，排水能力30m</w:t>
            </w:r>
            <w:r w:rsidRPr="00650E6C">
              <w:rPr>
                <w:rFonts w:ascii="仿宋_GB2312" w:hAnsi="等线" w:hint="eastAsia"/>
                <w:sz w:val="20"/>
                <w:vertAlign w:val="superscript"/>
              </w:rPr>
              <w:t>3</w:t>
            </w:r>
            <w:r w:rsidRPr="00650E6C">
              <w:rPr>
                <w:rFonts w:ascii="仿宋_GB2312" w:hAnsi="等线" w:hint="eastAsia"/>
                <w:sz w:val="20"/>
              </w:rPr>
              <w:t>/h，不符合《山东鲁泰控股集团有限公司太平煤矿3煤层八采区南翼补充设计审查意见》（2018年12月16日）中“八采区南翼属于提高开采上限，掘进及回采期间必须保证工作面抗灾排水能力不低于100m</w:t>
            </w:r>
            <w:r w:rsidRPr="00650E6C">
              <w:rPr>
                <w:rFonts w:ascii="仿宋_GB2312" w:hAnsi="等线" w:hint="eastAsia"/>
                <w:sz w:val="20"/>
                <w:vertAlign w:val="superscript"/>
              </w:rPr>
              <w:t>3</w:t>
            </w:r>
            <w:r w:rsidRPr="00650E6C">
              <w:rPr>
                <w:rFonts w:ascii="仿宋_GB2312" w:hAnsi="等线" w:hint="eastAsia"/>
                <w:sz w:val="20"/>
              </w:rPr>
              <w:t>/h”的规定。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《山东省安全生产条例》第七十六条第一款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罚款人民币叁万元整（￥30,000.00）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 xml:space="preserve"> 山东鲁泰控股集团有限公司太平煤矿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经现场测试，井下在用的2台蓄电池机车撒砂装置撒不出砂，不符合《煤矿安全规程》第三百七十七条第五项规定。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《中华人民共和国安全生产法》第九十九条第三项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罚款人民币壹万伍千元整（￥15,000.00）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 xml:space="preserve"> 山东鲁泰控股集团有限公司太平煤矿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地面35kV变电所至副井绞车房高压电缆泄露和耐压试验超过一年，没有再次进行试验，不符合《煤矿安全规程》第四百八十三第一款规定。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《中华人民共和国安全生产法》第九十九条第三项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罚款人民币壹万伍千元整（￥15,000.00）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 xml:space="preserve"> 山东鲁泰控股集团有限公司太平煤矿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矿井主井底泵房水仓为扩散通风超过6m的巷道，现场检查时，栅栏门未关闭，矿未及时发现并消除事故隐患，不符合《太平煤矿通风系统管理制度》“扩散通风超过6m时，设置栅栏，严禁人员进入”的规定。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《中华人民共和国安全生产法》第一百零二条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650E6C">
              <w:rPr>
                <w:rFonts w:ascii="仿宋_GB2312" w:hAnsi="等线" w:hint="eastAsia"/>
                <w:sz w:val="20"/>
              </w:rPr>
              <w:t>罚款人民币壹万伍千元整（￥15,000.00）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560" w:lineRule="exact"/>
              <w:rPr>
                <w:rFonts w:ascii="仿宋_GB2312" w:hAnsi="等线"/>
                <w:sz w:val="21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山东裕隆矿业集团有限公司唐阳煤矿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二采区单轨吊加油硐室门口附近巷道部分区域顶板喷浆体开裂，悬挂在顶板上，影响行人安全，不符合《煤矿安全规程》第一百二十五条的规定。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罚款人民币贰万元整（￥20,000.00）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山东裕隆矿业集团有限公司唐阳煤矿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-410m单轨吊检修硐室、</w:t>
            </w:r>
            <w:proofErr w:type="gramStart"/>
            <w:r w:rsidRPr="00650E6C">
              <w:rPr>
                <w:rFonts w:ascii="仿宋_GB2312" w:hAnsi="等线" w:hint="eastAsia"/>
                <w:sz w:val="20"/>
                <w:szCs w:val="21"/>
              </w:rPr>
              <w:t>五采</w:t>
            </w:r>
            <w:proofErr w:type="gramEnd"/>
            <w:r w:rsidRPr="00650E6C">
              <w:rPr>
                <w:rFonts w:ascii="仿宋_GB2312" w:hAnsi="等线" w:hint="eastAsia"/>
                <w:sz w:val="20"/>
                <w:szCs w:val="21"/>
              </w:rPr>
              <w:t>区变电所（尚未安装电气设备）长度都超过30m，两处硐室都只留设有1个畅通的安全出口，另一安全出口侧各砌筑了一道有通风口的挡风墙，巷道封堵后无法行人，不符合《煤矿安全规程》第八十八条第四款、《中华人民共和国安全生产法》第四十二条第二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《中华人民共和国安全生产法》第一百零五条第二项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罚款人民币贰万元整（￥20,000.00）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lastRenderedPageBreak/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山东裕隆矿业集团有限公司唐阳煤矿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6月7日中班现场检查时发现，-410m皮带大巷内低洼排水点处2台潜水泵的馈电开关、2号带式输送机配电点电气设备都处在</w:t>
            </w:r>
            <w:proofErr w:type="gramStart"/>
            <w:r w:rsidRPr="00650E6C">
              <w:rPr>
                <w:rFonts w:ascii="仿宋_GB2312" w:hAnsi="等线" w:hint="eastAsia"/>
                <w:sz w:val="20"/>
                <w:szCs w:val="21"/>
              </w:rPr>
              <w:t>五采</w:t>
            </w:r>
            <w:proofErr w:type="gramEnd"/>
            <w:r w:rsidRPr="00650E6C">
              <w:rPr>
                <w:rFonts w:ascii="仿宋_GB2312" w:hAnsi="等线" w:hint="eastAsia"/>
                <w:sz w:val="20"/>
                <w:szCs w:val="21"/>
              </w:rPr>
              <w:t>区的回风流中，未在来风一侧10-15m处安装甲烷传感器并实现</w:t>
            </w:r>
            <w:proofErr w:type="gramStart"/>
            <w:r w:rsidRPr="00650E6C">
              <w:rPr>
                <w:rFonts w:ascii="仿宋_GB2312" w:hAnsi="等线" w:hint="eastAsia"/>
                <w:sz w:val="20"/>
                <w:szCs w:val="21"/>
              </w:rPr>
              <w:t>甲烷电闭锁</w:t>
            </w:r>
            <w:proofErr w:type="gramEnd"/>
            <w:r w:rsidRPr="00650E6C">
              <w:rPr>
                <w:rFonts w:ascii="仿宋_GB2312" w:hAnsi="等线" w:hint="eastAsia"/>
                <w:sz w:val="20"/>
                <w:szCs w:val="21"/>
              </w:rPr>
              <w:t>，不符合《煤矿安全规程》第一百六十八条第二款的规定。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.罚款人民币贰万元整（￥20,000.00）</w:t>
            </w:r>
          </w:p>
        </w:tc>
      </w:tr>
      <w:tr w:rsidR="00BA0DDA" w:rsidRPr="00650E6C" w:rsidTr="00C72CE0">
        <w:trPr>
          <w:trHeight w:val="10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山东裕隆矿业集团有限公司唐阳煤矿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532皮带顺槽联络巷掘进工作面评价具有弱冲击地压危险，该巷道处于临近贯通和错层交叉的应力集中区域，下方与</w:t>
            </w:r>
            <w:proofErr w:type="gramStart"/>
            <w:r w:rsidRPr="00650E6C">
              <w:rPr>
                <w:rFonts w:ascii="仿宋_GB2312" w:hAnsi="等线" w:hint="eastAsia"/>
                <w:sz w:val="20"/>
                <w:szCs w:val="21"/>
              </w:rPr>
              <w:t>五采</w:t>
            </w:r>
            <w:proofErr w:type="gramEnd"/>
            <w:r w:rsidRPr="00650E6C">
              <w:rPr>
                <w:rFonts w:ascii="仿宋_GB2312" w:hAnsi="等线" w:hint="eastAsia"/>
                <w:sz w:val="20"/>
                <w:szCs w:val="21"/>
              </w:rPr>
              <w:t>区胶带下山交叉点垂距2.2m，前方与</w:t>
            </w:r>
            <w:proofErr w:type="gramStart"/>
            <w:r w:rsidRPr="00650E6C">
              <w:rPr>
                <w:rFonts w:ascii="仿宋_GB2312" w:hAnsi="等线" w:hint="eastAsia"/>
                <w:sz w:val="20"/>
                <w:szCs w:val="21"/>
              </w:rPr>
              <w:t>五采</w:t>
            </w:r>
            <w:proofErr w:type="gramEnd"/>
            <w:r w:rsidRPr="00650E6C">
              <w:rPr>
                <w:rFonts w:ascii="仿宋_GB2312" w:hAnsi="等线" w:hint="eastAsia"/>
                <w:sz w:val="20"/>
                <w:szCs w:val="21"/>
              </w:rPr>
              <w:t>区轨道下山贯通距离剩余约28m，未采取加强巷道支护的措施，不符合《山东省煤矿冲击地压防治办法》第三十九条的规定。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《山东省煤矿冲击地压防治办法》第五十二条第三项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罚款人民币叁万元整（￥30,000.00）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山东裕隆矿业集团有限公司唐阳煤矿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二</w:t>
            </w:r>
            <w:proofErr w:type="gramStart"/>
            <w:r w:rsidRPr="00650E6C">
              <w:rPr>
                <w:rFonts w:ascii="仿宋_GB2312" w:hAnsi="等线" w:hint="eastAsia"/>
                <w:sz w:val="20"/>
                <w:szCs w:val="21"/>
              </w:rPr>
              <w:t>采区猴车下山</w:t>
            </w:r>
            <w:proofErr w:type="gramEnd"/>
            <w:r w:rsidRPr="00650E6C">
              <w:rPr>
                <w:rFonts w:ascii="仿宋_GB2312" w:hAnsi="等线" w:hint="eastAsia"/>
                <w:sz w:val="20"/>
                <w:szCs w:val="21"/>
              </w:rPr>
              <w:t>采用锚网喷支护，架空乘人装置机尾处顶板喷体开裂破碎，未采取加强支护的措施，不符合《煤矿安全规程》第一百零二条第四项的规定。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罚款人民币叁万元整（￥30,000.00）</w:t>
            </w:r>
          </w:p>
        </w:tc>
      </w:tr>
      <w:tr w:rsidR="00BA0DDA" w:rsidRPr="00650E6C" w:rsidTr="00C72CE0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2023年6月19日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山东裕隆矿业集团有限公司唐阳煤矿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查矿井通风旬报表（2023年6月6日）发现，</w:t>
            </w:r>
            <w:proofErr w:type="gramStart"/>
            <w:r w:rsidRPr="00650E6C">
              <w:rPr>
                <w:rFonts w:ascii="仿宋_GB2312" w:hAnsi="等线" w:hint="eastAsia"/>
                <w:sz w:val="20"/>
                <w:szCs w:val="21"/>
              </w:rPr>
              <w:t>五采</w:t>
            </w:r>
            <w:proofErr w:type="gramEnd"/>
            <w:r w:rsidRPr="00650E6C">
              <w:rPr>
                <w:rFonts w:ascii="仿宋_GB2312" w:hAnsi="等线" w:hint="eastAsia"/>
                <w:sz w:val="20"/>
                <w:szCs w:val="21"/>
              </w:rPr>
              <w:t>区水泵房配风量43m</w:t>
            </w:r>
            <w:r w:rsidRPr="00650E6C">
              <w:rPr>
                <w:rFonts w:ascii="仿宋_GB2312" w:hAnsi="等线" w:hint="eastAsia"/>
                <w:sz w:val="20"/>
                <w:szCs w:val="21"/>
                <w:vertAlign w:val="superscript"/>
              </w:rPr>
              <w:t>3</w:t>
            </w:r>
            <w:r w:rsidRPr="00650E6C">
              <w:rPr>
                <w:rFonts w:ascii="仿宋_GB2312" w:hAnsi="等线" w:hint="eastAsia"/>
                <w:sz w:val="20"/>
                <w:szCs w:val="21"/>
              </w:rPr>
              <w:t>/min、</w:t>
            </w:r>
            <w:proofErr w:type="gramStart"/>
            <w:r w:rsidRPr="00650E6C">
              <w:rPr>
                <w:rFonts w:ascii="仿宋_GB2312" w:hAnsi="等线" w:hint="eastAsia"/>
                <w:sz w:val="20"/>
                <w:szCs w:val="21"/>
              </w:rPr>
              <w:t>五采</w:t>
            </w:r>
            <w:proofErr w:type="gramEnd"/>
            <w:r w:rsidRPr="00650E6C">
              <w:rPr>
                <w:rFonts w:ascii="仿宋_GB2312" w:hAnsi="等线" w:hint="eastAsia"/>
                <w:sz w:val="20"/>
                <w:szCs w:val="21"/>
              </w:rPr>
              <w:t>区变电所（尚未安装电气设备）配风量54m</w:t>
            </w:r>
            <w:r w:rsidRPr="00650E6C">
              <w:rPr>
                <w:rFonts w:ascii="仿宋_GB2312" w:hAnsi="等线" w:hint="eastAsia"/>
                <w:sz w:val="20"/>
                <w:szCs w:val="21"/>
                <w:vertAlign w:val="superscript"/>
              </w:rPr>
              <w:t>3</w:t>
            </w:r>
            <w:r w:rsidRPr="00650E6C">
              <w:rPr>
                <w:rFonts w:ascii="仿宋_GB2312" w:hAnsi="等线" w:hint="eastAsia"/>
                <w:sz w:val="20"/>
                <w:szCs w:val="21"/>
              </w:rPr>
              <w:t>/min，不符合《山东裕隆矿业集团有限公司唐阳煤矿</w:t>
            </w:r>
            <w:proofErr w:type="gramStart"/>
            <w:r w:rsidRPr="00650E6C">
              <w:rPr>
                <w:rFonts w:ascii="仿宋_GB2312" w:hAnsi="等线" w:hint="eastAsia"/>
                <w:sz w:val="20"/>
                <w:szCs w:val="21"/>
              </w:rPr>
              <w:t>五采</w:t>
            </w:r>
            <w:proofErr w:type="gramEnd"/>
            <w:r w:rsidRPr="00650E6C">
              <w:rPr>
                <w:rFonts w:ascii="仿宋_GB2312" w:hAnsi="等线" w:hint="eastAsia"/>
                <w:sz w:val="20"/>
                <w:szCs w:val="21"/>
              </w:rPr>
              <w:t>区开采设计说明书》（2020年6月）硐室实际需要风量计算中确定的采区变电所和水泵房都不低于120m</w:t>
            </w:r>
            <w:r w:rsidRPr="00650E6C">
              <w:rPr>
                <w:rFonts w:ascii="仿宋_GB2312" w:hAnsi="等线" w:hint="eastAsia"/>
                <w:sz w:val="20"/>
                <w:szCs w:val="21"/>
                <w:vertAlign w:val="superscript"/>
              </w:rPr>
              <w:t>3</w:t>
            </w:r>
            <w:r w:rsidRPr="00650E6C">
              <w:rPr>
                <w:rFonts w:ascii="仿宋_GB2312" w:hAnsi="等线" w:hint="eastAsia"/>
                <w:sz w:val="20"/>
                <w:szCs w:val="21"/>
              </w:rPr>
              <w:t>/min的规定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DA" w:rsidRPr="00650E6C" w:rsidRDefault="00BA0DDA" w:rsidP="00C72CE0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650E6C">
              <w:rPr>
                <w:rFonts w:ascii="仿宋_GB2312" w:hAnsi="等线" w:hint="eastAsia"/>
                <w:sz w:val="20"/>
                <w:szCs w:val="21"/>
              </w:rPr>
              <w:t>罚款人民币壹万元整（￥10,000.00）</w:t>
            </w:r>
          </w:p>
        </w:tc>
      </w:tr>
    </w:tbl>
    <w:p w:rsidR="00BA0DDA" w:rsidRPr="00650E6C" w:rsidRDefault="00BA0DDA" w:rsidP="00BA0DDA">
      <w:pPr>
        <w:spacing w:line="240" w:lineRule="exact"/>
        <w:rPr>
          <w:rFonts w:ascii="仿宋_GB2312" w:hAnsi="等线" w:cs="Times New Roman"/>
          <w:kern w:val="0"/>
          <w:sz w:val="20"/>
          <w:szCs w:val="20"/>
        </w:rPr>
      </w:pPr>
      <w:r w:rsidRPr="00650E6C">
        <w:rPr>
          <w:rFonts w:ascii="仿宋_GB2312" w:hAnsi="等线" w:cs="Times New Roman" w:hint="eastAsia"/>
          <w:kern w:val="0"/>
          <w:sz w:val="20"/>
          <w:szCs w:val="20"/>
        </w:rPr>
        <w:t xml:space="preserve"> </w:t>
      </w:r>
    </w:p>
    <w:p w:rsidR="00BA0DDA" w:rsidRPr="00650E6C" w:rsidRDefault="00BA0DDA" w:rsidP="00BA0DDA">
      <w:pPr>
        <w:spacing w:line="560" w:lineRule="exact"/>
      </w:pPr>
    </w:p>
    <w:p w:rsidR="006307DB" w:rsidRPr="00BA0DDA" w:rsidRDefault="006307DB"/>
    <w:sectPr w:rsidR="006307DB" w:rsidRPr="00BA0DDA" w:rsidSect="00BA0DDA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A"/>
    <w:rsid w:val="006307DB"/>
    <w:rsid w:val="00B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13B34-D0C7-4790-B951-841988B7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DA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A0DDA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2343</Characters>
  <Application>Microsoft Office Word</Application>
  <DocSecurity>0</DocSecurity>
  <Lines>19</Lines>
  <Paragraphs>5</Paragraphs>
  <ScaleCrop>false</ScaleCrop>
  <Company>sdj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2023-06-21T03:12:00Z</dcterms:created>
  <dcterms:modified xsi:type="dcterms:W3CDTF">2023-06-21T03:13:00Z</dcterms:modified>
</cp:coreProperties>
</file>