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677" w:rsidRDefault="00961677" w:rsidP="00961677">
      <w:pPr>
        <w:spacing w:line="600" w:lineRule="exact"/>
        <w:jc w:val="left"/>
        <w:rPr>
          <w:rFonts w:ascii="仿宋_GB2312" w:hAnsi="等线" w:cs="Times New Roman"/>
          <w:szCs w:val="32"/>
        </w:rPr>
      </w:pPr>
      <w:r>
        <w:rPr>
          <w:rFonts w:ascii="仿宋_GB2312" w:hAnsi="等线" w:cs="Times New Roman" w:hint="eastAsia"/>
          <w:szCs w:val="32"/>
        </w:rPr>
        <w:t>附件</w:t>
      </w:r>
    </w:p>
    <w:p w:rsidR="00961677" w:rsidRDefault="00961677" w:rsidP="00961677">
      <w:pPr>
        <w:spacing w:line="600" w:lineRule="exact"/>
        <w:jc w:val="center"/>
        <w:rPr>
          <w:rFonts w:ascii="方正小标宋简体" w:eastAsia="方正小标宋简体" w:hAnsi="等线" w:cs="Times New Roman"/>
          <w:szCs w:val="32"/>
        </w:rPr>
      </w:pPr>
      <w:bookmarkStart w:id="0" w:name="_GoBack"/>
      <w:r w:rsidRPr="00961677">
        <w:rPr>
          <w:rFonts w:ascii="方正小标宋简体" w:eastAsia="方正小标宋简体" w:hAnsi="等线" w:cs="Times New Roman" w:hint="eastAsia"/>
          <w:szCs w:val="32"/>
        </w:rPr>
        <w:t>监察</w:t>
      </w:r>
      <w:r>
        <w:rPr>
          <w:rFonts w:ascii="方正小标宋简体" w:eastAsia="方正小标宋简体" w:hAnsi="等线" w:cs="Times New Roman" w:hint="eastAsia"/>
          <w:szCs w:val="32"/>
        </w:rPr>
        <w:t>执法三处2023年第19批行政处罚信息公开表</w:t>
      </w:r>
    </w:p>
    <w:bookmarkEnd w:id="0"/>
    <w:p w:rsidR="00961677" w:rsidRPr="004C2F29" w:rsidRDefault="00961677" w:rsidP="00961677"/>
    <w:tbl>
      <w:tblPr>
        <w:tblStyle w:val="a3"/>
        <w:tblW w:w="4886" w:type="pct"/>
        <w:tblInd w:w="-34" w:type="dxa"/>
        <w:tblLayout w:type="fixed"/>
        <w:tblLook w:val="04A0" w:firstRow="1" w:lastRow="0" w:firstColumn="1" w:lastColumn="0" w:noHBand="0" w:noVBand="1"/>
      </w:tblPr>
      <w:tblGrid>
        <w:gridCol w:w="1061"/>
        <w:gridCol w:w="848"/>
        <w:gridCol w:w="1060"/>
        <w:gridCol w:w="1060"/>
        <w:gridCol w:w="4875"/>
        <w:gridCol w:w="1483"/>
        <w:gridCol w:w="2067"/>
      </w:tblGrid>
      <w:tr w:rsidR="00961677" w:rsidTr="00961677">
        <w:trPr>
          <w:trHeight w:val="1817"/>
        </w:trPr>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560" w:lineRule="exact"/>
              <w:rPr>
                <w:rFonts w:ascii="等线" w:eastAsia="等线" w:hAnsi="等线"/>
                <w:b/>
                <w:sz w:val="21"/>
                <w:szCs w:val="21"/>
              </w:rPr>
            </w:pPr>
            <w:r>
              <w:rPr>
                <w:rFonts w:ascii="等线" w:eastAsia="等线" w:hAnsi="等线" w:hint="eastAsia"/>
                <w:b/>
                <w:sz w:val="20"/>
                <w:szCs w:val="21"/>
              </w:rPr>
              <w:t>序号</w:t>
            </w:r>
          </w:p>
        </w:tc>
        <w:tc>
          <w:tcPr>
            <w:tcW w:w="567"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560" w:lineRule="exact"/>
              <w:rPr>
                <w:rFonts w:ascii="等线" w:eastAsia="等线" w:hAnsi="等线"/>
                <w:b/>
                <w:sz w:val="20"/>
                <w:szCs w:val="21"/>
              </w:rPr>
            </w:pPr>
            <w:r>
              <w:rPr>
                <w:rFonts w:ascii="等线" w:eastAsia="等线" w:hAnsi="等线" w:hint="eastAsia"/>
                <w:b/>
                <w:sz w:val="20"/>
                <w:szCs w:val="21"/>
              </w:rPr>
              <w:t>执法决定日期</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560" w:lineRule="exact"/>
              <w:rPr>
                <w:rFonts w:ascii="等线" w:eastAsia="等线" w:hAnsi="等线"/>
                <w:b/>
                <w:sz w:val="20"/>
                <w:szCs w:val="21"/>
              </w:rPr>
            </w:pPr>
            <w:r>
              <w:rPr>
                <w:rFonts w:ascii="等线" w:eastAsia="等线" w:hAnsi="等线" w:hint="eastAsia"/>
                <w:b/>
                <w:sz w:val="20"/>
                <w:szCs w:val="21"/>
              </w:rPr>
              <w:t>执法主体</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560" w:lineRule="exact"/>
              <w:rPr>
                <w:rFonts w:ascii="等线" w:eastAsia="等线" w:hAnsi="等线"/>
                <w:b/>
                <w:sz w:val="20"/>
                <w:szCs w:val="21"/>
              </w:rPr>
            </w:pPr>
            <w:r>
              <w:rPr>
                <w:rFonts w:ascii="等线" w:eastAsia="等线" w:hAnsi="等线" w:hint="eastAsia"/>
                <w:b/>
                <w:sz w:val="20"/>
                <w:szCs w:val="21"/>
              </w:rPr>
              <w:t>执法对象</w:t>
            </w:r>
          </w:p>
        </w:tc>
        <w:tc>
          <w:tcPr>
            <w:tcW w:w="3260"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560" w:lineRule="exact"/>
              <w:jc w:val="center"/>
              <w:rPr>
                <w:rFonts w:ascii="等线" w:eastAsia="等线" w:hAnsi="等线"/>
                <w:b/>
                <w:sz w:val="20"/>
                <w:szCs w:val="21"/>
              </w:rPr>
            </w:pPr>
            <w:r>
              <w:rPr>
                <w:rFonts w:ascii="等线" w:eastAsia="等线" w:hAnsi="等线" w:hint="eastAsia"/>
                <w:b/>
                <w:sz w:val="20"/>
                <w:szCs w:val="21"/>
              </w:rPr>
              <w:t>违法事实</w:t>
            </w:r>
          </w:p>
        </w:tc>
        <w:tc>
          <w:tcPr>
            <w:tcW w:w="992"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560" w:lineRule="exact"/>
              <w:rPr>
                <w:rFonts w:ascii="等线" w:eastAsia="等线" w:hAnsi="等线"/>
                <w:b/>
                <w:sz w:val="20"/>
                <w:szCs w:val="21"/>
              </w:rPr>
            </w:pPr>
            <w:r>
              <w:rPr>
                <w:rFonts w:ascii="等线" w:eastAsia="等线" w:hAnsi="等线" w:hint="eastAsia"/>
                <w:b/>
                <w:sz w:val="20"/>
                <w:szCs w:val="21"/>
              </w:rPr>
              <w:t>处罚依据</w:t>
            </w:r>
          </w:p>
        </w:tc>
        <w:tc>
          <w:tcPr>
            <w:tcW w:w="1382"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560" w:lineRule="exact"/>
              <w:rPr>
                <w:rFonts w:ascii="等线" w:eastAsia="等线" w:hAnsi="等线"/>
                <w:b/>
                <w:sz w:val="20"/>
                <w:szCs w:val="21"/>
              </w:rPr>
            </w:pPr>
            <w:r>
              <w:rPr>
                <w:rFonts w:ascii="等线" w:eastAsia="等线" w:hAnsi="等线" w:hint="eastAsia"/>
                <w:b/>
                <w:sz w:val="20"/>
                <w:szCs w:val="21"/>
              </w:rPr>
              <w:t>处罚内容</w:t>
            </w:r>
          </w:p>
        </w:tc>
      </w:tr>
      <w:tr w:rsidR="00961677" w:rsidTr="00344D8A">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2023年6月12日</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枣庄矿业集团新安煤业有限公司</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1.21605综采工作面刮板输送机机头处，有1m煤壁没有截割到位，不能及时拉架，1#-5#液压支架端面距超过800mm，不符合《21605综采工作面作业规程》中“端面距不大于289mm”的规定；2.316采区集中轨道巷掘进工作面采用锚网支护，迎头</w:t>
            </w:r>
            <w:proofErr w:type="gramStart"/>
            <w:r>
              <w:rPr>
                <w:rFonts w:ascii="仿宋_GB2312" w:hAnsi="等线" w:hint="eastAsia"/>
                <w:sz w:val="20"/>
                <w:szCs w:val="21"/>
              </w:rPr>
              <w:t>右帮有</w:t>
            </w:r>
            <w:proofErr w:type="gramEnd"/>
            <w:r>
              <w:rPr>
                <w:rFonts w:ascii="仿宋_GB2312" w:hAnsi="等线" w:hint="eastAsia"/>
                <w:sz w:val="20"/>
                <w:szCs w:val="21"/>
              </w:rPr>
              <w:t>2棵锚杆托盘因煤体</w:t>
            </w:r>
            <w:proofErr w:type="gramStart"/>
            <w:r>
              <w:rPr>
                <w:rFonts w:ascii="仿宋_GB2312" w:hAnsi="等线" w:hint="eastAsia"/>
                <w:sz w:val="20"/>
                <w:szCs w:val="21"/>
              </w:rPr>
              <w:t>片落导致</w:t>
            </w:r>
            <w:proofErr w:type="gramEnd"/>
            <w:r>
              <w:rPr>
                <w:rFonts w:ascii="仿宋_GB2312" w:hAnsi="等线" w:hint="eastAsia"/>
                <w:sz w:val="20"/>
                <w:szCs w:val="21"/>
              </w:rPr>
              <w:t>不贴岩面，不符合《316采区集中轨道巷掘进工作面作业规程》中“锚杆托盘紧贴岩面”的规定；3.13上06回撤工作面材料巷与煤壁交界处有3处锚杆托盘未紧贴煤（岩）面，不符合《13上06造撤面条件安全技术措施》中“锚杆托盘未紧贴煤（岩）面”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《山东省安全生产条例》第七十六条第一款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罚款人民币九万元整</w:t>
            </w:r>
          </w:p>
        </w:tc>
      </w:tr>
      <w:tr w:rsidR="00961677" w:rsidTr="00344D8A">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2023年6月12日</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枣庄矿业集团新安煤业有限公司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1.21605综采工作面运输巷带式输送机皮带下有淤煤，磨皮带托辊，不符合《新安煤业公司胶带运输机管理规定》“及时清理皮带淤煤，不准磨皮带托辊”的规定。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《山东省安全生产条例》第七十六条第一款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罚款人民币三万元整</w:t>
            </w:r>
          </w:p>
        </w:tc>
      </w:tr>
      <w:tr w:rsidR="00961677" w:rsidTr="00344D8A">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3</w:t>
            </w:r>
          </w:p>
        </w:tc>
        <w:tc>
          <w:tcPr>
            <w:tcW w:w="567"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2023年6月12日</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国家矿山安全监察局山东局</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枣庄矿业集团新安煤业有限公司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1.2023年5月31日2时30分至6时17分，21605综采工作面运输巷74#人员定位基站无法接受信号，该时间段不能查找人员信息，设备发生故障，没有及时处理，不符合《煤矿井下作业人员管理系统使用与管理规范》（AQ1048-2007）5.1.10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《中华人民共和国安全生产法》第九十九条第三项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罚款人民币三万元整</w:t>
            </w:r>
          </w:p>
        </w:tc>
      </w:tr>
      <w:tr w:rsidR="00961677" w:rsidTr="00344D8A">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4</w:t>
            </w:r>
          </w:p>
        </w:tc>
        <w:tc>
          <w:tcPr>
            <w:tcW w:w="567"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t>2023年6月12</w:t>
            </w:r>
            <w:r>
              <w:rPr>
                <w:rFonts w:ascii="仿宋_GB2312" w:hAnsi="等线" w:hint="eastAsia"/>
                <w:sz w:val="20"/>
                <w:szCs w:val="21"/>
              </w:rPr>
              <w:lastRenderedPageBreak/>
              <w:t>日</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lastRenderedPageBreak/>
              <w:t>国家矿山安全监察</w:t>
            </w:r>
            <w:r>
              <w:rPr>
                <w:rFonts w:ascii="仿宋_GB2312" w:hAnsi="等线" w:hint="eastAsia"/>
                <w:sz w:val="20"/>
                <w:szCs w:val="21"/>
              </w:rPr>
              <w:lastRenderedPageBreak/>
              <w:t>局山东局</w:t>
            </w:r>
          </w:p>
        </w:tc>
        <w:tc>
          <w:tcPr>
            <w:tcW w:w="709"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lastRenderedPageBreak/>
              <w:t>枣庄矿业集团新安</w:t>
            </w:r>
            <w:r>
              <w:rPr>
                <w:rFonts w:ascii="仿宋_GB2312" w:hAnsi="等线" w:hint="eastAsia"/>
                <w:sz w:val="20"/>
                <w:szCs w:val="21"/>
              </w:rPr>
              <w:lastRenderedPageBreak/>
              <w:t>煤业有限公司</w:t>
            </w:r>
          </w:p>
        </w:tc>
        <w:tc>
          <w:tcPr>
            <w:tcW w:w="3260" w:type="dxa"/>
            <w:tcBorders>
              <w:top w:val="single" w:sz="4" w:space="0" w:color="auto"/>
              <w:left w:val="single" w:sz="4" w:space="0" w:color="auto"/>
              <w:bottom w:val="single" w:sz="4" w:space="0" w:color="auto"/>
              <w:right w:val="single" w:sz="4" w:space="0" w:color="auto"/>
            </w:tcBorders>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lastRenderedPageBreak/>
              <w:t>1.316采区集中轨道</w:t>
            </w:r>
            <w:proofErr w:type="gramStart"/>
            <w:r>
              <w:rPr>
                <w:rFonts w:ascii="仿宋_GB2312" w:hAnsi="等线" w:hint="eastAsia"/>
                <w:sz w:val="20"/>
                <w:szCs w:val="21"/>
              </w:rPr>
              <w:t>巷使用</w:t>
            </w:r>
            <w:proofErr w:type="gramEnd"/>
            <w:r>
              <w:rPr>
                <w:rFonts w:ascii="仿宋_GB2312" w:hAnsi="等线" w:hint="eastAsia"/>
                <w:sz w:val="20"/>
                <w:szCs w:val="21"/>
              </w:rPr>
              <w:t>的锂电单轨吊机载甲烷断电仪未投入使用，司机没有携带便携式甲烷检测报警仪，</w:t>
            </w:r>
            <w:r>
              <w:rPr>
                <w:rFonts w:ascii="仿宋_GB2312" w:hAnsi="等线" w:hint="eastAsia"/>
                <w:sz w:val="20"/>
                <w:szCs w:val="21"/>
              </w:rPr>
              <w:lastRenderedPageBreak/>
              <w:t>不符合《煤矿安全规程》第五百零一条第四项的规定；2.316采区集中皮带巷掘进工作面第二部滚筒驱动带式输送机机头未设置防护栏；316采区集中轨道巷掘进工作面滚筒驱动带式输送机机尾未设置警示牌，不符合《煤矿安全规程》第三百七十四条第九项的规定。</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lastRenderedPageBreak/>
              <w:t>《中华人民共和国安全生产</w:t>
            </w:r>
            <w:r>
              <w:rPr>
                <w:rFonts w:ascii="仿宋_GB2312" w:hAnsi="等线" w:hint="eastAsia"/>
                <w:sz w:val="20"/>
                <w:szCs w:val="21"/>
              </w:rPr>
              <w:lastRenderedPageBreak/>
              <w:t>法》第九十九条第二项</w:t>
            </w:r>
          </w:p>
        </w:tc>
        <w:tc>
          <w:tcPr>
            <w:tcW w:w="13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1677" w:rsidRDefault="00961677" w:rsidP="00344D8A">
            <w:pPr>
              <w:spacing w:line="240" w:lineRule="exact"/>
              <w:rPr>
                <w:rFonts w:ascii="仿宋_GB2312" w:hAnsi="等线"/>
                <w:sz w:val="20"/>
                <w:szCs w:val="21"/>
              </w:rPr>
            </w:pPr>
            <w:r>
              <w:rPr>
                <w:rFonts w:ascii="仿宋_GB2312" w:hAnsi="等线" w:hint="eastAsia"/>
                <w:sz w:val="20"/>
                <w:szCs w:val="21"/>
              </w:rPr>
              <w:lastRenderedPageBreak/>
              <w:t>罚款人民币三万元整</w:t>
            </w:r>
          </w:p>
        </w:tc>
      </w:tr>
    </w:tbl>
    <w:p w:rsidR="00961677" w:rsidRDefault="00961677" w:rsidP="00961677">
      <w:pPr>
        <w:spacing w:line="560" w:lineRule="exact"/>
      </w:pPr>
    </w:p>
    <w:p w:rsidR="006902D6" w:rsidRDefault="006902D6"/>
    <w:sectPr w:rsidR="006902D6" w:rsidSect="00961677">
      <w:pgSz w:w="16838" w:h="11906" w:orient="landscape"/>
      <w:pgMar w:top="1588" w:right="2098" w:bottom="1474" w:left="1985"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677"/>
    <w:rsid w:val="006902D6"/>
    <w:rsid w:val="009616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83D02D-5C17-4534-A0FE-8DAD5458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677"/>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qFormat/>
    <w:rsid w:val="00961677"/>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148</Words>
  <Characters>849</Characters>
  <Application>Microsoft Office Word</Application>
  <DocSecurity>0</DocSecurity>
  <Lines>7</Lines>
  <Paragraphs>1</Paragraphs>
  <ScaleCrop>false</ScaleCrop>
  <Company>sdj</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2023-06-13T07:41:00Z</dcterms:created>
  <dcterms:modified xsi:type="dcterms:W3CDTF">2023-06-13T07:43:00Z</dcterms:modified>
</cp:coreProperties>
</file>