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1A" w:rsidRDefault="006D72F1">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国家矿山安全监察局山东局</w:t>
      </w:r>
      <w:r w:rsidR="00842989">
        <w:rPr>
          <w:rFonts w:ascii="方正小标宋简体" w:eastAsia="方正小标宋简体" w:hint="eastAsia"/>
          <w:sz w:val="44"/>
          <w:szCs w:val="44"/>
        </w:rPr>
        <w:t>监察执法二处</w:t>
      </w:r>
      <w:r>
        <w:rPr>
          <w:rFonts w:ascii="方正小标宋简体" w:eastAsia="方正小标宋简体" w:hint="eastAsia"/>
          <w:sz w:val="44"/>
          <w:szCs w:val="44"/>
        </w:rPr>
        <w:t>2023年第17批行政处罚信息公告</w:t>
      </w:r>
    </w:p>
    <w:p w:rsidR="0015791A" w:rsidRDefault="0015791A">
      <w:pPr>
        <w:spacing w:line="700" w:lineRule="exact"/>
        <w:rPr>
          <w:rFonts w:ascii="仿宋_GB2312" w:eastAsia="仿宋_GB2312"/>
          <w:sz w:val="32"/>
          <w:szCs w:val="32"/>
        </w:rPr>
      </w:pPr>
    </w:p>
    <w:p w:rsidR="0015791A" w:rsidRDefault="006D72F1">
      <w:pPr>
        <w:spacing w:line="600" w:lineRule="exact"/>
        <w:ind w:firstLineChars="200" w:firstLine="640"/>
        <w:rPr>
          <w:rFonts w:ascii="仿宋_GB2312" w:eastAsia="仿宋_GB2312"/>
          <w:sz w:val="32"/>
          <w:szCs w:val="32"/>
        </w:rPr>
      </w:pPr>
      <w:r>
        <w:rPr>
          <w:rFonts w:ascii="仿宋_GB2312" w:eastAsia="仿宋_GB2312" w:hint="eastAsia"/>
          <w:sz w:val="32"/>
          <w:szCs w:val="32"/>
        </w:rPr>
        <w:t>根据《中华人民共和国安全生产法》第七十八条第二款等规定，现将我局</w:t>
      </w:r>
      <w:r>
        <w:rPr>
          <w:rFonts w:ascii="仿宋_GB2312" w:eastAsia="仿宋_GB2312"/>
          <w:sz w:val="32"/>
          <w:szCs w:val="32"/>
        </w:rPr>
        <w:t>202</w:t>
      </w:r>
      <w:r>
        <w:rPr>
          <w:rFonts w:ascii="仿宋_GB2312" w:eastAsia="仿宋_GB2312" w:hint="eastAsia"/>
          <w:sz w:val="32"/>
          <w:szCs w:val="32"/>
        </w:rPr>
        <w:t>3</w:t>
      </w:r>
      <w:r>
        <w:rPr>
          <w:rFonts w:ascii="仿宋_GB2312" w:eastAsia="仿宋_GB2312"/>
          <w:sz w:val="32"/>
          <w:szCs w:val="32"/>
        </w:rPr>
        <w:t>年5月18</w:t>
      </w:r>
      <w:r>
        <w:rPr>
          <w:rFonts w:ascii="仿宋_GB2312" w:eastAsia="仿宋_GB2312" w:hint="eastAsia"/>
          <w:sz w:val="32"/>
          <w:szCs w:val="32"/>
        </w:rPr>
        <w:t>日-5月2</w:t>
      </w:r>
      <w:r w:rsidR="00B9260B">
        <w:rPr>
          <w:rFonts w:ascii="仿宋_GB2312" w:eastAsia="仿宋_GB2312"/>
          <w:sz w:val="32"/>
          <w:szCs w:val="32"/>
        </w:rPr>
        <w:t>2</w:t>
      </w:r>
      <w:r>
        <w:rPr>
          <w:rFonts w:ascii="仿宋_GB2312" w:eastAsia="仿宋_GB2312"/>
          <w:sz w:val="32"/>
          <w:szCs w:val="32"/>
        </w:rPr>
        <w:t>日</w:t>
      </w:r>
      <w:proofErr w:type="gramStart"/>
      <w:r>
        <w:rPr>
          <w:rFonts w:ascii="仿宋_GB2312" w:eastAsia="仿宋_GB2312"/>
          <w:sz w:val="32"/>
          <w:szCs w:val="32"/>
        </w:rPr>
        <w:t>作出</w:t>
      </w:r>
      <w:proofErr w:type="gramEnd"/>
      <w:r>
        <w:rPr>
          <w:rFonts w:ascii="仿宋_GB2312" w:eastAsia="仿宋_GB2312"/>
          <w:sz w:val="32"/>
          <w:szCs w:val="32"/>
        </w:rPr>
        <w:t xml:space="preserve">的行政处罚信息予以公开，并接受社会监督。 </w:t>
      </w:r>
    </w:p>
    <w:p w:rsidR="0015791A" w:rsidRDefault="0015791A">
      <w:pPr>
        <w:spacing w:line="600" w:lineRule="exact"/>
        <w:rPr>
          <w:rFonts w:ascii="仿宋_GB2312" w:eastAsia="仿宋_GB2312"/>
          <w:sz w:val="32"/>
          <w:szCs w:val="32"/>
        </w:rPr>
      </w:pPr>
    </w:p>
    <w:p w:rsidR="0015791A" w:rsidRDefault="006D72F1">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r w:rsidR="00B9260B">
        <w:rPr>
          <w:rFonts w:ascii="仿宋_GB2312" w:eastAsia="仿宋_GB2312" w:hint="eastAsia"/>
          <w:sz w:val="32"/>
          <w:szCs w:val="32"/>
        </w:rPr>
        <w:t>监察</w:t>
      </w:r>
      <w:r>
        <w:rPr>
          <w:rFonts w:ascii="仿宋_GB2312" w:eastAsia="仿宋_GB2312" w:hint="eastAsia"/>
          <w:sz w:val="32"/>
          <w:szCs w:val="32"/>
        </w:rPr>
        <w:t>执法二处</w:t>
      </w:r>
      <w:r>
        <w:rPr>
          <w:rFonts w:ascii="仿宋_GB2312" w:eastAsia="仿宋_GB2312"/>
          <w:sz w:val="32"/>
          <w:szCs w:val="32"/>
        </w:rPr>
        <w:t>202</w:t>
      </w:r>
      <w:r>
        <w:rPr>
          <w:rFonts w:ascii="仿宋_GB2312" w:eastAsia="仿宋_GB2312" w:hint="eastAsia"/>
          <w:sz w:val="32"/>
          <w:szCs w:val="32"/>
        </w:rPr>
        <w:t>3</w:t>
      </w:r>
      <w:r>
        <w:rPr>
          <w:rFonts w:ascii="仿宋_GB2312" w:eastAsia="仿宋_GB2312"/>
          <w:sz w:val="32"/>
          <w:szCs w:val="32"/>
        </w:rPr>
        <w:t>年第</w:t>
      </w:r>
      <w:r>
        <w:rPr>
          <w:rFonts w:ascii="仿宋_GB2312" w:eastAsia="仿宋_GB2312" w:hint="eastAsia"/>
          <w:sz w:val="32"/>
          <w:szCs w:val="32"/>
        </w:rPr>
        <w:t>17</w:t>
      </w:r>
      <w:r>
        <w:rPr>
          <w:rFonts w:ascii="仿宋_GB2312" w:eastAsia="仿宋_GB2312"/>
          <w:sz w:val="32"/>
          <w:szCs w:val="32"/>
        </w:rPr>
        <w:t>批行政处罚信息公开表</w:t>
      </w:r>
    </w:p>
    <w:p w:rsidR="0015791A" w:rsidRDefault="006D72F1">
      <w:pPr>
        <w:spacing w:line="600" w:lineRule="exact"/>
        <w:rPr>
          <w:rFonts w:ascii="仿宋_GB2312" w:eastAsia="仿宋_GB2312"/>
          <w:sz w:val="32"/>
          <w:szCs w:val="32"/>
        </w:rPr>
      </w:pPr>
      <w:r>
        <w:rPr>
          <w:rFonts w:ascii="仿宋_GB2312" w:eastAsia="仿宋_GB2312"/>
          <w:sz w:val="32"/>
          <w:szCs w:val="32"/>
        </w:rPr>
        <w:t xml:space="preserve"> </w:t>
      </w:r>
    </w:p>
    <w:p w:rsidR="0015791A" w:rsidRDefault="0015791A">
      <w:pPr>
        <w:spacing w:line="600" w:lineRule="exact"/>
        <w:rPr>
          <w:rFonts w:ascii="仿宋_GB2312" w:eastAsia="仿宋_GB2312"/>
          <w:sz w:val="32"/>
          <w:szCs w:val="32"/>
        </w:rPr>
      </w:pPr>
    </w:p>
    <w:p w:rsidR="0015791A" w:rsidRDefault="006D72F1">
      <w:pPr>
        <w:spacing w:line="600" w:lineRule="exact"/>
        <w:ind w:right="320"/>
        <w:jc w:val="right"/>
        <w:rPr>
          <w:rFonts w:ascii="仿宋_GB2312" w:eastAsia="仿宋_GB2312"/>
          <w:sz w:val="32"/>
          <w:szCs w:val="32"/>
        </w:rPr>
      </w:pPr>
      <w:r>
        <w:rPr>
          <w:rFonts w:ascii="仿宋_GB2312" w:eastAsia="仿宋_GB2312" w:hint="eastAsia"/>
          <w:sz w:val="32"/>
          <w:szCs w:val="32"/>
        </w:rPr>
        <w:t>国家矿山安全监察局山东局</w:t>
      </w:r>
    </w:p>
    <w:p w:rsidR="0015791A" w:rsidRDefault="006D72F1">
      <w:pPr>
        <w:spacing w:line="600" w:lineRule="exact"/>
        <w:rPr>
          <w:rFonts w:ascii="仿宋_GB2312" w:eastAsia="仿宋_GB2312"/>
          <w:sz w:val="32"/>
          <w:szCs w:val="32"/>
        </w:rPr>
      </w:pPr>
      <w:r>
        <w:rPr>
          <w:rFonts w:ascii="仿宋_GB2312" w:eastAsia="仿宋_GB2312"/>
          <w:sz w:val="32"/>
          <w:szCs w:val="32"/>
        </w:rPr>
        <w:t xml:space="preserve">                              202</w:t>
      </w:r>
      <w:r>
        <w:rPr>
          <w:rFonts w:ascii="仿宋_GB2312" w:eastAsia="仿宋_GB2312" w:hint="eastAsia"/>
          <w:sz w:val="32"/>
          <w:szCs w:val="32"/>
        </w:rPr>
        <w:t>3</w:t>
      </w:r>
      <w:r>
        <w:rPr>
          <w:rFonts w:ascii="仿宋_GB2312" w:eastAsia="仿宋_GB2312"/>
          <w:sz w:val="32"/>
          <w:szCs w:val="32"/>
        </w:rPr>
        <w:t>年</w:t>
      </w:r>
      <w:r>
        <w:rPr>
          <w:rFonts w:ascii="仿宋_GB2312" w:eastAsia="仿宋_GB2312" w:hint="eastAsia"/>
          <w:sz w:val="32"/>
          <w:szCs w:val="32"/>
        </w:rPr>
        <w:t>5</w:t>
      </w:r>
      <w:r>
        <w:rPr>
          <w:rFonts w:ascii="仿宋_GB2312" w:eastAsia="仿宋_GB2312"/>
          <w:sz w:val="32"/>
          <w:szCs w:val="32"/>
        </w:rPr>
        <w:t>月</w:t>
      </w:r>
      <w:r>
        <w:rPr>
          <w:rFonts w:ascii="仿宋_GB2312" w:eastAsia="仿宋_GB2312" w:hint="eastAsia"/>
          <w:sz w:val="32"/>
          <w:szCs w:val="32"/>
        </w:rPr>
        <w:t>23</w:t>
      </w:r>
      <w:r>
        <w:rPr>
          <w:rFonts w:ascii="仿宋_GB2312" w:eastAsia="仿宋_GB2312"/>
          <w:sz w:val="32"/>
          <w:szCs w:val="32"/>
        </w:rPr>
        <w:t>日</w:t>
      </w:r>
    </w:p>
    <w:p w:rsidR="0015791A" w:rsidRDefault="006D72F1">
      <w:pPr>
        <w:spacing w:line="600" w:lineRule="exact"/>
        <w:rPr>
          <w:rFonts w:ascii="仿宋_GB2312" w:eastAsia="仿宋_GB2312"/>
          <w:sz w:val="32"/>
          <w:szCs w:val="32"/>
        </w:rPr>
      </w:pPr>
      <w:r>
        <w:rPr>
          <w:rFonts w:ascii="仿宋_GB2312" w:eastAsia="仿宋_GB2312"/>
          <w:sz w:val="32"/>
          <w:szCs w:val="32"/>
        </w:rPr>
        <w:t xml:space="preserve"> </w:t>
      </w: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15791A">
      <w:pPr>
        <w:spacing w:line="600" w:lineRule="exact"/>
        <w:jc w:val="center"/>
        <w:rPr>
          <w:rFonts w:ascii="仿宋_GB2312" w:eastAsia="仿宋_GB2312"/>
          <w:sz w:val="32"/>
          <w:szCs w:val="32"/>
        </w:rPr>
      </w:pPr>
    </w:p>
    <w:p w:rsidR="0015791A" w:rsidRDefault="006D72F1">
      <w:pPr>
        <w:spacing w:line="600" w:lineRule="exact"/>
        <w:jc w:val="left"/>
        <w:rPr>
          <w:rFonts w:ascii="仿宋_GB2312" w:eastAsia="仿宋_GB2312"/>
          <w:sz w:val="32"/>
          <w:szCs w:val="32"/>
        </w:rPr>
      </w:pPr>
      <w:r>
        <w:rPr>
          <w:rFonts w:ascii="仿宋_GB2312" w:eastAsia="仿宋_GB2312" w:hint="eastAsia"/>
          <w:sz w:val="32"/>
          <w:szCs w:val="32"/>
        </w:rPr>
        <w:lastRenderedPageBreak/>
        <w:t>附件</w:t>
      </w:r>
    </w:p>
    <w:p w:rsidR="0015791A" w:rsidRDefault="00B9260B">
      <w:pPr>
        <w:spacing w:line="600" w:lineRule="exact"/>
        <w:jc w:val="center"/>
        <w:rPr>
          <w:rFonts w:ascii="方正小标宋简体" w:eastAsia="方正小标宋简体"/>
          <w:sz w:val="32"/>
          <w:szCs w:val="32"/>
        </w:rPr>
      </w:pPr>
      <w:r>
        <w:rPr>
          <w:rFonts w:ascii="方正小标宋简体" w:eastAsia="方正小标宋简体" w:hint="eastAsia"/>
          <w:sz w:val="32"/>
          <w:szCs w:val="32"/>
        </w:rPr>
        <w:t>监察</w:t>
      </w:r>
      <w:r w:rsidR="006D72F1">
        <w:rPr>
          <w:rFonts w:ascii="方正小标宋简体" w:eastAsia="方正小标宋简体" w:hint="eastAsia"/>
          <w:sz w:val="32"/>
          <w:szCs w:val="32"/>
        </w:rPr>
        <w:t>执法二处2023年第17批行政处罚信息公开表</w:t>
      </w:r>
    </w:p>
    <w:p w:rsidR="0015791A" w:rsidRDefault="0015791A">
      <w:pPr>
        <w:spacing w:line="560" w:lineRule="exact"/>
        <w:jc w:val="center"/>
        <w:rPr>
          <w:rFonts w:ascii="方正小标宋简体" w:eastAsia="方正小标宋简体"/>
          <w:sz w:val="32"/>
          <w:szCs w:val="32"/>
        </w:rPr>
      </w:pPr>
    </w:p>
    <w:tbl>
      <w:tblPr>
        <w:tblStyle w:val="a3"/>
        <w:tblW w:w="5000" w:type="pct"/>
        <w:tblLook w:val="04A0" w:firstRow="1" w:lastRow="0" w:firstColumn="1" w:lastColumn="0" w:noHBand="0" w:noVBand="1"/>
      </w:tblPr>
      <w:tblGrid>
        <w:gridCol w:w="641"/>
        <w:gridCol w:w="940"/>
        <w:gridCol w:w="1074"/>
        <w:gridCol w:w="762"/>
        <w:gridCol w:w="3459"/>
        <w:gridCol w:w="682"/>
        <w:gridCol w:w="738"/>
      </w:tblGrid>
      <w:tr w:rsidR="0015791A">
        <w:tc>
          <w:tcPr>
            <w:tcW w:w="386" w:type="pct"/>
            <w:vAlign w:val="center"/>
          </w:tcPr>
          <w:p w:rsidR="0015791A" w:rsidRDefault="006D72F1">
            <w:pPr>
              <w:spacing w:line="560" w:lineRule="exact"/>
              <w:rPr>
                <w:b/>
              </w:rPr>
            </w:pPr>
            <w:r>
              <w:rPr>
                <w:rFonts w:hint="eastAsia"/>
                <w:b/>
              </w:rPr>
              <w:t>序号</w:t>
            </w:r>
          </w:p>
        </w:tc>
        <w:tc>
          <w:tcPr>
            <w:tcW w:w="566" w:type="pct"/>
            <w:vAlign w:val="center"/>
          </w:tcPr>
          <w:p w:rsidR="0015791A" w:rsidRDefault="006D72F1">
            <w:pPr>
              <w:spacing w:line="560" w:lineRule="exact"/>
              <w:rPr>
                <w:b/>
              </w:rPr>
            </w:pPr>
            <w:r>
              <w:rPr>
                <w:rFonts w:hint="eastAsia"/>
                <w:b/>
              </w:rPr>
              <w:t>执法决定日期</w:t>
            </w:r>
          </w:p>
        </w:tc>
        <w:tc>
          <w:tcPr>
            <w:tcW w:w="647" w:type="pct"/>
            <w:vAlign w:val="center"/>
          </w:tcPr>
          <w:p w:rsidR="0015791A" w:rsidRDefault="006D72F1">
            <w:pPr>
              <w:spacing w:line="560" w:lineRule="exact"/>
              <w:rPr>
                <w:b/>
              </w:rPr>
            </w:pPr>
            <w:r>
              <w:rPr>
                <w:rFonts w:hint="eastAsia"/>
                <w:b/>
              </w:rPr>
              <w:t>执法主体</w:t>
            </w:r>
          </w:p>
        </w:tc>
        <w:tc>
          <w:tcPr>
            <w:tcW w:w="459" w:type="pct"/>
            <w:vAlign w:val="center"/>
          </w:tcPr>
          <w:p w:rsidR="0015791A" w:rsidRDefault="006D72F1">
            <w:pPr>
              <w:spacing w:line="560" w:lineRule="exact"/>
              <w:rPr>
                <w:b/>
              </w:rPr>
            </w:pPr>
            <w:r>
              <w:rPr>
                <w:b/>
              </w:rPr>
              <w:t>执法对</w:t>
            </w:r>
            <w:r>
              <w:rPr>
                <w:rFonts w:hint="eastAsia"/>
                <w:b/>
              </w:rPr>
              <w:t xml:space="preserve"> </w:t>
            </w:r>
            <w:proofErr w:type="gramStart"/>
            <w:r>
              <w:rPr>
                <w:b/>
              </w:rPr>
              <w:t>象</w:t>
            </w:r>
            <w:proofErr w:type="gramEnd"/>
          </w:p>
        </w:tc>
        <w:tc>
          <w:tcPr>
            <w:tcW w:w="2084" w:type="pct"/>
            <w:vAlign w:val="center"/>
          </w:tcPr>
          <w:p w:rsidR="0015791A" w:rsidRDefault="006D72F1">
            <w:pPr>
              <w:spacing w:line="560" w:lineRule="exact"/>
              <w:jc w:val="center"/>
              <w:rPr>
                <w:b/>
              </w:rPr>
            </w:pPr>
            <w:r>
              <w:rPr>
                <w:b/>
              </w:rPr>
              <w:t>违法事实</w:t>
            </w:r>
          </w:p>
        </w:tc>
        <w:tc>
          <w:tcPr>
            <w:tcW w:w="411" w:type="pct"/>
            <w:vAlign w:val="center"/>
          </w:tcPr>
          <w:p w:rsidR="0015791A" w:rsidRDefault="006D72F1">
            <w:pPr>
              <w:spacing w:line="560" w:lineRule="exact"/>
              <w:rPr>
                <w:b/>
              </w:rPr>
            </w:pPr>
            <w:r>
              <w:rPr>
                <w:b/>
              </w:rPr>
              <w:t>处罚依据</w:t>
            </w:r>
          </w:p>
        </w:tc>
        <w:tc>
          <w:tcPr>
            <w:tcW w:w="445" w:type="pct"/>
            <w:vAlign w:val="center"/>
          </w:tcPr>
          <w:p w:rsidR="0015791A" w:rsidRDefault="006D72F1">
            <w:pPr>
              <w:spacing w:line="560" w:lineRule="exact"/>
              <w:rPr>
                <w:b/>
              </w:rPr>
            </w:pPr>
            <w:r>
              <w:rPr>
                <w:b/>
              </w:rPr>
              <w:t>处罚内</w:t>
            </w:r>
            <w:r>
              <w:rPr>
                <w:rFonts w:hint="eastAsia"/>
                <w:b/>
              </w:rPr>
              <w:t xml:space="preserve"> </w:t>
            </w:r>
            <w:r>
              <w:rPr>
                <w:b/>
              </w:rPr>
              <w:t>容</w:t>
            </w:r>
          </w:p>
        </w:tc>
      </w:tr>
      <w:tr w:rsidR="0015791A">
        <w:tc>
          <w:tcPr>
            <w:tcW w:w="386" w:type="pct"/>
            <w:vMerge w:val="restart"/>
            <w:vAlign w:val="center"/>
          </w:tcPr>
          <w:p w:rsidR="0015791A" w:rsidRDefault="006D72F1">
            <w:pPr>
              <w:spacing w:line="560" w:lineRule="exact"/>
            </w:pPr>
            <w:r>
              <w:rPr>
                <w:rFonts w:hint="eastAsia"/>
              </w:rPr>
              <w:t>1</w:t>
            </w:r>
          </w:p>
        </w:tc>
        <w:tc>
          <w:tcPr>
            <w:tcW w:w="566" w:type="pct"/>
            <w:vMerge w:val="restart"/>
            <w:vAlign w:val="center"/>
          </w:tcPr>
          <w:p w:rsidR="0015791A" w:rsidRDefault="006D72F1" w:rsidP="006D72F1">
            <w:pPr>
              <w:spacing w:line="560" w:lineRule="exact"/>
              <w:jc w:val="center"/>
            </w:pPr>
            <w:r>
              <w:rPr>
                <w:rFonts w:hint="eastAsia"/>
              </w:rPr>
              <w:t>2023年</w:t>
            </w:r>
            <w:r>
              <w:t>5</w:t>
            </w:r>
            <w:r>
              <w:rPr>
                <w:rFonts w:hint="eastAsia"/>
              </w:rPr>
              <w:t>月</w:t>
            </w:r>
            <w:r>
              <w:t>18</w:t>
            </w:r>
            <w:r>
              <w:rPr>
                <w:rFonts w:hint="eastAsia"/>
              </w:rPr>
              <w:t>日</w:t>
            </w:r>
          </w:p>
        </w:tc>
        <w:tc>
          <w:tcPr>
            <w:tcW w:w="647" w:type="pct"/>
            <w:vMerge w:val="restart"/>
            <w:vAlign w:val="center"/>
          </w:tcPr>
          <w:p w:rsidR="0015791A" w:rsidRDefault="006D72F1">
            <w:pPr>
              <w:spacing w:line="560" w:lineRule="exact"/>
              <w:jc w:val="center"/>
            </w:pPr>
            <w:r>
              <w:t>国家矿山安全监察局山东局</w:t>
            </w:r>
          </w:p>
        </w:tc>
        <w:tc>
          <w:tcPr>
            <w:tcW w:w="459" w:type="pct"/>
            <w:vMerge w:val="restart"/>
            <w:vAlign w:val="center"/>
          </w:tcPr>
          <w:p w:rsidR="0015791A" w:rsidRDefault="006D72F1">
            <w:pPr>
              <w:spacing w:line="560" w:lineRule="exact"/>
              <w:jc w:val="center"/>
            </w:pPr>
            <w:r>
              <w:rPr>
                <w:rFonts w:hint="eastAsia"/>
              </w:rPr>
              <w:t>新汶矿业集团有限责任公司孙村煤矿</w:t>
            </w:r>
          </w:p>
        </w:tc>
        <w:tc>
          <w:tcPr>
            <w:tcW w:w="2084" w:type="pct"/>
            <w:vAlign w:val="center"/>
          </w:tcPr>
          <w:p w:rsidR="0015791A" w:rsidRDefault="006D72F1">
            <w:pPr>
              <w:spacing w:line="560" w:lineRule="exact"/>
            </w:pPr>
            <w:r>
              <w:rPr>
                <w:rFonts w:hint="eastAsia"/>
              </w:rPr>
              <w:t>1.-210充填集运巷为限制区域，入口处没有设置人员位置监测系统读卡分站，不符合《煤矿安全规程》第五百零四条的规定。</w:t>
            </w:r>
          </w:p>
        </w:tc>
        <w:tc>
          <w:tcPr>
            <w:tcW w:w="411" w:type="pct"/>
            <w:vAlign w:val="center"/>
          </w:tcPr>
          <w:p w:rsidR="0015791A" w:rsidRDefault="006D72F1">
            <w:pPr>
              <w:spacing w:line="560" w:lineRule="exact"/>
            </w:pPr>
            <w:r>
              <w:rPr>
                <w:rFonts w:hint="eastAsia"/>
              </w:rPr>
              <w:t>《中华人民共和国安全生产法》第九十九条第二项</w:t>
            </w:r>
          </w:p>
        </w:tc>
        <w:tc>
          <w:tcPr>
            <w:tcW w:w="445" w:type="pct"/>
            <w:vAlign w:val="center"/>
          </w:tcPr>
          <w:p w:rsidR="0015791A" w:rsidRDefault="006D72F1">
            <w:pPr>
              <w:spacing w:line="560" w:lineRule="exact"/>
            </w:pPr>
            <w:r>
              <w:rPr>
                <w:rFonts w:hint="eastAsia"/>
              </w:rPr>
              <w:t>罚款人民币二万元整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jc w:val="center"/>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rPr>
                <w:rFonts w:hint="eastAsia"/>
              </w:rPr>
              <w:t>2.矿井开采的2煤层为冲击地压煤层，2212综采工作面运输顺槽有一段长约10m的地段采用刚性支护（11</w:t>
            </w:r>
            <w:r>
              <w:rPr>
                <w:rFonts w:hint="eastAsia"/>
                <w:vertAlign w:val="superscript"/>
              </w:rPr>
              <w:t>#</w:t>
            </w:r>
            <w:r>
              <w:rPr>
                <w:rFonts w:hint="eastAsia"/>
              </w:rPr>
              <w:t>工字钢架棚支护），不符合《防治煤矿冲击地压细则》第八十三条的规定。2212综采工作面第87-93</w:t>
            </w:r>
            <w:r>
              <w:rPr>
                <w:rFonts w:hint="eastAsia"/>
                <w:vertAlign w:val="superscript"/>
              </w:rPr>
              <w:t>#</w:t>
            </w:r>
            <w:r>
              <w:rPr>
                <w:rFonts w:hint="eastAsia"/>
              </w:rPr>
              <w:t>液压支架</w:t>
            </w:r>
            <w:proofErr w:type="gramStart"/>
            <w:r>
              <w:rPr>
                <w:rFonts w:hint="eastAsia"/>
              </w:rPr>
              <w:t>顶梁接顶不实</w:t>
            </w:r>
            <w:proofErr w:type="gramEnd"/>
            <w:r>
              <w:rPr>
                <w:rFonts w:hint="eastAsia"/>
              </w:rPr>
              <w:t>，不符合《煤</w:t>
            </w:r>
            <w:r>
              <w:rPr>
                <w:rFonts w:hint="eastAsia"/>
              </w:rPr>
              <w:lastRenderedPageBreak/>
              <w:t>矿安全规程》第一百一十四条第四项和《2212综采工作面作业规程》中“液压支架接顶要实”的规定。矿井三斜井上二车场所在巷道有两处顶端受压变形，形成网兜，影响行人安全，不符合《煤矿安全规程》第一百二十五条的规定。11319回风通道掘进工作面安装的锚索有6根外露长度280-320mm，不符合《11319回风通道掘进工作面作业规程》中“锚索露出锁具长度150-250mm”的规定。11319回风通道掘进工作面迎头外6米范围内顶部安装的锚杆有7根与巷道</w:t>
            </w:r>
            <w:proofErr w:type="gramStart"/>
            <w:r>
              <w:rPr>
                <w:rFonts w:hint="eastAsia"/>
              </w:rPr>
              <w:t>顶部不</w:t>
            </w:r>
            <w:proofErr w:type="gramEnd"/>
            <w:r>
              <w:rPr>
                <w:rFonts w:hint="eastAsia"/>
              </w:rPr>
              <w:t>垂直，不符合《11319回风通道掘进工作面作业规程》中“巷道顶部安装的锚杆与巷道顶部垂直”的规定。</w:t>
            </w:r>
          </w:p>
        </w:tc>
        <w:tc>
          <w:tcPr>
            <w:tcW w:w="411" w:type="pct"/>
            <w:vAlign w:val="center"/>
          </w:tcPr>
          <w:p w:rsidR="0015791A" w:rsidRDefault="006D72F1">
            <w:pPr>
              <w:spacing w:line="560" w:lineRule="exact"/>
            </w:pPr>
            <w:r>
              <w:rPr>
                <w:rFonts w:hint="eastAsia"/>
              </w:rPr>
              <w:lastRenderedPageBreak/>
              <w:t>《山东省安全生产条例》第七</w:t>
            </w:r>
            <w:r>
              <w:rPr>
                <w:rFonts w:hint="eastAsia"/>
              </w:rPr>
              <w:lastRenderedPageBreak/>
              <w:t>十六条第一款</w:t>
            </w:r>
          </w:p>
        </w:tc>
        <w:tc>
          <w:tcPr>
            <w:tcW w:w="445" w:type="pct"/>
            <w:vAlign w:val="center"/>
          </w:tcPr>
          <w:p w:rsidR="0015791A" w:rsidRDefault="006D72F1">
            <w:pPr>
              <w:spacing w:line="560" w:lineRule="exact"/>
            </w:pPr>
            <w:r>
              <w:rPr>
                <w:rFonts w:hint="eastAsia"/>
              </w:rPr>
              <w:lastRenderedPageBreak/>
              <w:t>罚款人民币六万元整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jc w:val="center"/>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rPr>
                <w:rFonts w:hint="eastAsia"/>
              </w:rPr>
              <w:t>3.2212综采工作面多处液压支架的安全阀锈蚀严重，长期没有进行维护，不符合《煤矿安全规程》第四条第五款的规定。-800上部煤仓通道掘进工作面掘进机检修口的护板变形致间隙约5cm，未及时维修，不符合《煤矿安全规程》第四条第五款的</w:t>
            </w:r>
            <w:r>
              <w:rPr>
                <w:rFonts w:hint="eastAsia"/>
              </w:rPr>
              <w:lastRenderedPageBreak/>
              <w:t>规定。-800</w:t>
            </w:r>
            <w:proofErr w:type="gramStart"/>
            <w:r>
              <w:rPr>
                <w:rFonts w:hint="eastAsia"/>
              </w:rPr>
              <w:t>西翼总回通道</w:t>
            </w:r>
            <w:proofErr w:type="gramEnd"/>
            <w:r>
              <w:rPr>
                <w:rFonts w:hint="eastAsia"/>
              </w:rPr>
              <w:t>掘进工作面第三部带式输送机机头防跑偏保护导杆摆动到行程极限位后不能复位，不符合《煤矿安全规程》第四条第五款的规定。</w:t>
            </w:r>
          </w:p>
        </w:tc>
        <w:tc>
          <w:tcPr>
            <w:tcW w:w="411" w:type="pct"/>
            <w:vAlign w:val="center"/>
          </w:tcPr>
          <w:p w:rsidR="0015791A" w:rsidRDefault="006D72F1">
            <w:pPr>
              <w:spacing w:line="560" w:lineRule="exact"/>
            </w:pPr>
            <w:r>
              <w:rPr>
                <w:rFonts w:hint="eastAsia"/>
              </w:rPr>
              <w:lastRenderedPageBreak/>
              <w:t>《中华人民共和国安全生产法》</w:t>
            </w:r>
            <w:r>
              <w:rPr>
                <w:rFonts w:hint="eastAsia"/>
              </w:rPr>
              <w:lastRenderedPageBreak/>
              <w:t>第九十九条第三项</w:t>
            </w:r>
          </w:p>
        </w:tc>
        <w:tc>
          <w:tcPr>
            <w:tcW w:w="445" w:type="pct"/>
            <w:vAlign w:val="center"/>
          </w:tcPr>
          <w:p w:rsidR="0015791A" w:rsidRDefault="006D72F1">
            <w:pPr>
              <w:spacing w:line="560" w:lineRule="exact"/>
            </w:pPr>
            <w:r>
              <w:rPr>
                <w:rFonts w:hint="eastAsia"/>
              </w:rPr>
              <w:lastRenderedPageBreak/>
              <w:t>罚款人民币三万元整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jc w:val="center"/>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rPr>
                <w:rFonts w:hint="eastAsia"/>
              </w:rPr>
              <w:t>4.2212综采工作面进风</w:t>
            </w:r>
            <w:proofErr w:type="gramStart"/>
            <w:r>
              <w:rPr>
                <w:rFonts w:hint="eastAsia"/>
              </w:rPr>
              <w:t>巷采用</w:t>
            </w:r>
            <w:proofErr w:type="gramEnd"/>
            <w:r>
              <w:rPr>
                <w:rFonts w:hint="eastAsia"/>
              </w:rPr>
              <w:t>沿空留巷，有一段约5m的地段</w:t>
            </w:r>
            <w:proofErr w:type="gramStart"/>
            <w:r>
              <w:rPr>
                <w:rFonts w:hint="eastAsia"/>
              </w:rPr>
              <w:t>从帮部和</w:t>
            </w:r>
            <w:proofErr w:type="gramEnd"/>
            <w:r>
              <w:rPr>
                <w:rFonts w:hint="eastAsia"/>
              </w:rPr>
              <w:t>顶部向采空区漏风严重，不符合《煤矿安全规程》第一百五十三条第三款的规定。2212综采工作面运输顺槽有多处地段煤柱深度破坏，没有采取防灭火措施，不符合《孙村煤矿防止煤柱破坏区自然发火措施》中“当巷帮出现深度破坏时，及时予以喷浆封堵，防止出现煤柱破坏区的煤层自燃”的规定。</w:t>
            </w:r>
          </w:p>
        </w:tc>
        <w:tc>
          <w:tcPr>
            <w:tcW w:w="411" w:type="pct"/>
            <w:vAlign w:val="center"/>
          </w:tcPr>
          <w:p w:rsidR="0015791A" w:rsidRDefault="006D72F1">
            <w:pPr>
              <w:spacing w:line="560" w:lineRule="exact"/>
            </w:pPr>
            <w:r>
              <w:rPr>
                <w:rFonts w:hint="eastAsia"/>
              </w:rPr>
              <w:t>《中华人民共和国矿山安全法实施条例》第五十四条</w:t>
            </w:r>
          </w:p>
        </w:tc>
        <w:tc>
          <w:tcPr>
            <w:tcW w:w="445" w:type="pct"/>
            <w:vAlign w:val="center"/>
          </w:tcPr>
          <w:p w:rsidR="0015791A" w:rsidRDefault="006D72F1">
            <w:pPr>
              <w:spacing w:line="560" w:lineRule="exact"/>
            </w:pPr>
            <w:r>
              <w:rPr>
                <w:rFonts w:hint="eastAsia"/>
              </w:rPr>
              <w:t>罚款人民币二万元整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t>5.-800上部煤仓通道掘进工作面设备、管路、风筒上的沉积煤尘未及时清除，不符合《煤矿安全规程》第一百八十六条第二款的规定。-800上部煤仓通道掘进工作面未按作业规程规定在距掘进工作面50m、100m处设置净化水幕和捕尘网，不符合</w:t>
            </w:r>
            <w:r>
              <w:lastRenderedPageBreak/>
              <w:t>《煤矿安全规程》第六百四十九条的规定。</w:t>
            </w:r>
          </w:p>
        </w:tc>
        <w:tc>
          <w:tcPr>
            <w:tcW w:w="411" w:type="pct"/>
            <w:vAlign w:val="center"/>
          </w:tcPr>
          <w:p w:rsidR="0015791A" w:rsidRDefault="006D72F1">
            <w:pPr>
              <w:spacing w:line="560" w:lineRule="exact"/>
            </w:pPr>
            <w:r>
              <w:rPr>
                <w:rFonts w:hint="eastAsia"/>
              </w:rPr>
              <w:lastRenderedPageBreak/>
              <w:t>《中华人民共和国矿山安全法实</w:t>
            </w:r>
            <w:r>
              <w:rPr>
                <w:rFonts w:hint="eastAsia"/>
              </w:rPr>
              <w:lastRenderedPageBreak/>
              <w:t>施条例》第五十四条</w:t>
            </w:r>
          </w:p>
        </w:tc>
        <w:tc>
          <w:tcPr>
            <w:tcW w:w="445" w:type="pct"/>
            <w:vAlign w:val="center"/>
          </w:tcPr>
          <w:p w:rsidR="0015791A" w:rsidRDefault="006D72F1">
            <w:pPr>
              <w:spacing w:line="560" w:lineRule="exact"/>
            </w:pPr>
            <w:r>
              <w:rPr>
                <w:rFonts w:hint="eastAsia"/>
              </w:rPr>
              <w:lastRenderedPageBreak/>
              <w:t>罚款人民币二万元整</w:t>
            </w:r>
          </w:p>
        </w:tc>
      </w:tr>
      <w:tr w:rsidR="0015791A">
        <w:tc>
          <w:tcPr>
            <w:tcW w:w="386" w:type="pct"/>
            <w:vMerge w:val="restart"/>
            <w:vAlign w:val="center"/>
          </w:tcPr>
          <w:p w:rsidR="0015791A" w:rsidRDefault="006D72F1">
            <w:pPr>
              <w:spacing w:line="560" w:lineRule="exact"/>
            </w:pPr>
            <w:r>
              <w:rPr>
                <w:rFonts w:hint="eastAsia"/>
              </w:rPr>
              <w:t>2</w:t>
            </w:r>
          </w:p>
        </w:tc>
        <w:tc>
          <w:tcPr>
            <w:tcW w:w="566" w:type="pct"/>
            <w:vMerge w:val="restart"/>
            <w:vAlign w:val="center"/>
          </w:tcPr>
          <w:p w:rsidR="0015791A" w:rsidRDefault="006D72F1">
            <w:pPr>
              <w:spacing w:line="560" w:lineRule="exact"/>
              <w:jc w:val="center"/>
            </w:pPr>
            <w:r>
              <w:rPr>
                <w:rFonts w:hint="eastAsia"/>
              </w:rPr>
              <w:t>2023年5月22日</w:t>
            </w:r>
          </w:p>
        </w:tc>
        <w:tc>
          <w:tcPr>
            <w:tcW w:w="647" w:type="pct"/>
            <w:vMerge w:val="restart"/>
            <w:vAlign w:val="center"/>
          </w:tcPr>
          <w:p w:rsidR="0015791A" w:rsidRDefault="006D72F1">
            <w:pPr>
              <w:spacing w:line="560" w:lineRule="exact"/>
              <w:jc w:val="center"/>
            </w:pPr>
            <w:r>
              <w:t>国家矿山安全监察局山东局</w:t>
            </w:r>
          </w:p>
        </w:tc>
        <w:tc>
          <w:tcPr>
            <w:tcW w:w="459" w:type="pct"/>
            <w:vMerge w:val="restart"/>
            <w:vAlign w:val="center"/>
          </w:tcPr>
          <w:p w:rsidR="0015791A" w:rsidRDefault="006D72F1">
            <w:pPr>
              <w:spacing w:line="560" w:lineRule="exact"/>
              <w:jc w:val="center"/>
            </w:pPr>
            <w:r>
              <w:rPr>
                <w:rFonts w:hint="eastAsia"/>
              </w:rPr>
              <w:t>新汶矿业集团有限责任公司华丰煤矿</w:t>
            </w:r>
          </w:p>
        </w:tc>
        <w:tc>
          <w:tcPr>
            <w:tcW w:w="2084" w:type="pct"/>
            <w:vAlign w:val="center"/>
          </w:tcPr>
          <w:p w:rsidR="0015791A" w:rsidRDefault="006D72F1">
            <w:pPr>
              <w:spacing w:line="560" w:lineRule="exact"/>
            </w:pPr>
            <w:r>
              <w:t>1.二段主井（-840m～-750m）掘进工作面采用锚网喷支护，未对喷体强度进行检测并形成记录，不符合《煤矿安全规程》第一百零二条第三项的规定，-1010</w:t>
            </w:r>
            <w:proofErr w:type="gramStart"/>
            <w:r>
              <w:t>西岩巷煤仓</w:t>
            </w:r>
            <w:proofErr w:type="gramEnd"/>
            <w:r>
              <w:t>石门以西20米范围内顶板、两帮喷体开裂，未及时维修，影响通风、运输畅通和行人安全，不符合《煤矿安全规程》第一百二十五条的规定，查看煤矿监察预警平台发现：4月17日，-750m转载机尾皮带下风侧烟雾传感器出现两次累计时长28分钟的故障报警，经分析为现场工人使用高压水冲刷传感器造成，从业人员违反操作规程，不符合《煤矿安全规程》第八条第三款的规定，11106西辅助通道掘进工作面使用</w:t>
            </w:r>
            <w:proofErr w:type="gramStart"/>
            <w:r>
              <w:t>耙</w:t>
            </w:r>
            <w:proofErr w:type="gramEnd"/>
            <w:r>
              <w:t>装机装岩，现场</w:t>
            </w:r>
            <w:proofErr w:type="gramStart"/>
            <w:r>
              <w:t>耙</w:t>
            </w:r>
            <w:proofErr w:type="gramEnd"/>
            <w:r>
              <w:t>装机与掘进工作面的距离不足4m，不符合《11106西辅助</w:t>
            </w:r>
            <w:r>
              <w:lastRenderedPageBreak/>
              <w:t>通道掘进工作面作业规程》中“耙装机与掘进工作面的最小允许距离为6m”的规定</w:t>
            </w:r>
            <w:r>
              <w:rPr>
                <w:rFonts w:hint="eastAsia"/>
              </w:rPr>
              <w:t>。</w:t>
            </w:r>
          </w:p>
        </w:tc>
        <w:tc>
          <w:tcPr>
            <w:tcW w:w="411" w:type="pct"/>
            <w:vAlign w:val="center"/>
          </w:tcPr>
          <w:p w:rsidR="0015791A" w:rsidRDefault="006D72F1">
            <w:pPr>
              <w:spacing w:line="560" w:lineRule="exact"/>
            </w:pPr>
            <w:r>
              <w:rPr>
                <w:rFonts w:hint="eastAsia"/>
              </w:rPr>
              <w:lastRenderedPageBreak/>
              <w:t>《山东省安全生产条例》第七十六条第一款</w:t>
            </w:r>
          </w:p>
        </w:tc>
        <w:tc>
          <w:tcPr>
            <w:tcW w:w="445" w:type="pct"/>
            <w:vAlign w:val="center"/>
          </w:tcPr>
          <w:p w:rsidR="0015791A" w:rsidRDefault="006D72F1">
            <w:pPr>
              <w:spacing w:line="560" w:lineRule="exact"/>
            </w:pPr>
            <w:r>
              <w:rPr>
                <w:rFonts w:hint="eastAsia"/>
              </w:rPr>
              <w:t>罚款人民币十三万二千元整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jc w:val="center"/>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t>2.11106</w:t>
            </w:r>
            <w:proofErr w:type="gramStart"/>
            <w:r>
              <w:t>西运输</w:t>
            </w:r>
            <w:proofErr w:type="gramEnd"/>
            <w:r>
              <w:t>联络巷掘进工作面采用放炮、耙装机装岩作业，矿井二季度风险排查时未对该地点放炮、耙装机作业等引起事故和伤害的危害因素进行辨识，危害因素辨识不全，不符合《煤矿安全风险分级管控和隐患排查治理双重预防机制实施指南》D B37/T-3417-2018附录C中C.4规定，二号副井提升机3处</w:t>
            </w:r>
            <w:proofErr w:type="gramStart"/>
            <w:r>
              <w:t>闸</w:t>
            </w:r>
            <w:proofErr w:type="gramEnd"/>
            <w:r>
              <w:t>间隙保护装置松动，其中2处</w:t>
            </w:r>
            <w:proofErr w:type="gramStart"/>
            <w:r>
              <w:t>闸</w:t>
            </w:r>
            <w:proofErr w:type="gramEnd"/>
            <w:r>
              <w:t>间隙保护设置超过2mm，未及时发现并消除该隐患，不符合《安全生产法》第四十一条第二款的规定，11105运输巷掘进工作面带式输送机距离机头100m处上皮带托辊用防雨布覆盖，未及时发现并消除该隐患，不符合《安全生产法》第四十一条第二款的规定</w:t>
            </w:r>
            <w:r>
              <w:rPr>
                <w:rFonts w:hint="eastAsia"/>
              </w:rPr>
              <w:t>。</w:t>
            </w:r>
          </w:p>
        </w:tc>
        <w:tc>
          <w:tcPr>
            <w:tcW w:w="411" w:type="pct"/>
            <w:vAlign w:val="center"/>
          </w:tcPr>
          <w:p w:rsidR="0015791A" w:rsidRDefault="006D72F1">
            <w:pPr>
              <w:spacing w:line="560" w:lineRule="exact"/>
            </w:pPr>
            <w:r>
              <w:rPr>
                <w:rFonts w:hint="eastAsia"/>
              </w:rPr>
              <w:t>《中华人民共和国安全生产法》第一百零二条</w:t>
            </w:r>
          </w:p>
        </w:tc>
        <w:tc>
          <w:tcPr>
            <w:tcW w:w="445" w:type="pct"/>
            <w:vAlign w:val="center"/>
          </w:tcPr>
          <w:p w:rsidR="0015791A" w:rsidRDefault="006D72F1">
            <w:pPr>
              <w:spacing w:line="560" w:lineRule="exact"/>
            </w:pPr>
            <w:r>
              <w:rPr>
                <w:rFonts w:hint="eastAsia"/>
              </w:rPr>
              <w:t>罚款人民币七万元整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jc w:val="center"/>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t>3.现场检查时矿井只有1台在用的100%光干涉甲烷测定器，数量不足，不符合《煤矿安全规程》第一百四十</w:t>
            </w:r>
            <w:r>
              <w:lastRenderedPageBreak/>
              <w:t>一条的规定</w:t>
            </w:r>
            <w:r>
              <w:rPr>
                <w:rFonts w:hint="eastAsia"/>
              </w:rPr>
              <w:t>。</w:t>
            </w:r>
          </w:p>
        </w:tc>
        <w:tc>
          <w:tcPr>
            <w:tcW w:w="411" w:type="pct"/>
            <w:vAlign w:val="center"/>
          </w:tcPr>
          <w:p w:rsidR="0015791A" w:rsidRDefault="006D72F1">
            <w:pPr>
              <w:spacing w:line="560" w:lineRule="exact"/>
            </w:pPr>
            <w:r>
              <w:rPr>
                <w:rFonts w:hint="eastAsia"/>
              </w:rPr>
              <w:lastRenderedPageBreak/>
              <w:t>《中华人民共</w:t>
            </w:r>
            <w:r>
              <w:rPr>
                <w:rFonts w:hint="eastAsia"/>
              </w:rPr>
              <w:lastRenderedPageBreak/>
              <w:t>和国安全生产法》第九十九条第二项</w:t>
            </w:r>
          </w:p>
        </w:tc>
        <w:tc>
          <w:tcPr>
            <w:tcW w:w="445" w:type="pct"/>
            <w:vAlign w:val="center"/>
          </w:tcPr>
          <w:p w:rsidR="0015791A" w:rsidRDefault="006D72F1">
            <w:pPr>
              <w:spacing w:line="560" w:lineRule="exact"/>
            </w:pPr>
            <w:r>
              <w:rPr>
                <w:rFonts w:hint="eastAsia"/>
              </w:rPr>
              <w:lastRenderedPageBreak/>
              <w:t>罚款人民币一</w:t>
            </w:r>
            <w:r>
              <w:rPr>
                <w:rFonts w:hint="eastAsia"/>
              </w:rPr>
              <w:lastRenderedPageBreak/>
              <w:t>万元整</w:t>
            </w:r>
          </w:p>
        </w:tc>
      </w:tr>
      <w:tr w:rsidR="0015791A">
        <w:tc>
          <w:tcPr>
            <w:tcW w:w="386" w:type="pct"/>
            <w:vMerge/>
            <w:vAlign w:val="center"/>
          </w:tcPr>
          <w:p w:rsidR="0015791A" w:rsidRDefault="0015791A">
            <w:pPr>
              <w:spacing w:line="560" w:lineRule="exact"/>
            </w:pPr>
          </w:p>
        </w:tc>
        <w:tc>
          <w:tcPr>
            <w:tcW w:w="566" w:type="pct"/>
            <w:vMerge/>
            <w:vAlign w:val="center"/>
          </w:tcPr>
          <w:p w:rsidR="0015791A" w:rsidRDefault="0015791A">
            <w:pPr>
              <w:spacing w:line="560" w:lineRule="exact"/>
            </w:pPr>
          </w:p>
        </w:tc>
        <w:tc>
          <w:tcPr>
            <w:tcW w:w="647" w:type="pct"/>
            <w:vMerge/>
            <w:vAlign w:val="center"/>
          </w:tcPr>
          <w:p w:rsidR="0015791A" w:rsidRDefault="0015791A">
            <w:pPr>
              <w:spacing w:line="560" w:lineRule="exact"/>
              <w:jc w:val="center"/>
            </w:pPr>
          </w:p>
        </w:tc>
        <w:tc>
          <w:tcPr>
            <w:tcW w:w="459" w:type="pct"/>
            <w:vMerge/>
            <w:vAlign w:val="center"/>
          </w:tcPr>
          <w:p w:rsidR="0015791A" w:rsidRDefault="0015791A">
            <w:pPr>
              <w:spacing w:line="560" w:lineRule="exact"/>
              <w:jc w:val="center"/>
            </w:pPr>
          </w:p>
        </w:tc>
        <w:tc>
          <w:tcPr>
            <w:tcW w:w="2084" w:type="pct"/>
            <w:vAlign w:val="center"/>
          </w:tcPr>
          <w:p w:rsidR="0015791A" w:rsidRDefault="006D72F1">
            <w:pPr>
              <w:spacing w:line="560" w:lineRule="exact"/>
            </w:pPr>
            <w:r>
              <w:t>4.21105运输联络巷掘进工作面安设的应急广播系统在2023年4月24日现场检查时音量过低，不能保证迎头人员清晰听到应急指令，不符合《煤矿安全规程》第六百八十五条的规定，11105运输巷掘进工作面带式输送机中段有一个自动纠偏装置脱落，不符合《安全生产法》</w:t>
            </w:r>
            <w:r w:rsidR="00F12EB1">
              <w:rPr>
                <w:rFonts w:hint="eastAsia"/>
              </w:rPr>
              <w:t>第</w:t>
            </w:r>
            <w:bookmarkStart w:id="0" w:name="_GoBack"/>
            <w:bookmarkEnd w:id="0"/>
            <w:r>
              <w:t xml:space="preserve">三十六条第二款的规定 </w:t>
            </w:r>
            <w:r>
              <w:rPr>
                <w:rFonts w:hint="eastAsia"/>
              </w:rPr>
              <w:t>。</w:t>
            </w:r>
          </w:p>
        </w:tc>
        <w:tc>
          <w:tcPr>
            <w:tcW w:w="411" w:type="pct"/>
            <w:vAlign w:val="center"/>
          </w:tcPr>
          <w:p w:rsidR="0015791A" w:rsidRDefault="006D72F1">
            <w:pPr>
              <w:spacing w:line="560" w:lineRule="exact"/>
            </w:pPr>
            <w:r>
              <w:rPr>
                <w:rFonts w:hint="eastAsia"/>
              </w:rPr>
              <w:t>《中华人民共和国安全生产法》第九十九条第三项</w:t>
            </w:r>
          </w:p>
        </w:tc>
        <w:tc>
          <w:tcPr>
            <w:tcW w:w="445" w:type="pct"/>
            <w:vAlign w:val="center"/>
          </w:tcPr>
          <w:p w:rsidR="0015791A" w:rsidRDefault="006D72F1">
            <w:pPr>
              <w:spacing w:line="560" w:lineRule="exact"/>
            </w:pPr>
            <w:r>
              <w:rPr>
                <w:rFonts w:hint="eastAsia"/>
              </w:rPr>
              <w:t>罚款人民币二万元整</w:t>
            </w:r>
          </w:p>
        </w:tc>
      </w:tr>
      <w:tr w:rsidR="0015791A">
        <w:tc>
          <w:tcPr>
            <w:tcW w:w="386" w:type="pct"/>
            <w:vAlign w:val="center"/>
          </w:tcPr>
          <w:p w:rsidR="0015791A" w:rsidRDefault="006D72F1">
            <w:pPr>
              <w:spacing w:line="560" w:lineRule="exact"/>
            </w:pPr>
            <w:r>
              <w:rPr>
                <w:rFonts w:hint="eastAsia"/>
              </w:rPr>
              <w:t>3</w:t>
            </w:r>
          </w:p>
        </w:tc>
        <w:tc>
          <w:tcPr>
            <w:tcW w:w="566" w:type="pct"/>
            <w:vAlign w:val="center"/>
          </w:tcPr>
          <w:p w:rsidR="0015791A" w:rsidRDefault="006D72F1" w:rsidP="006D72F1">
            <w:pPr>
              <w:spacing w:line="560" w:lineRule="exact"/>
              <w:jc w:val="center"/>
            </w:pPr>
            <w:r>
              <w:rPr>
                <w:rFonts w:hint="eastAsia"/>
              </w:rPr>
              <w:t>2023年5月</w:t>
            </w:r>
            <w:r>
              <w:t>22</w:t>
            </w:r>
            <w:r>
              <w:rPr>
                <w:rFonts w:hint="eastAsia"/>
              </w:rPr>
              <w:t>日</w:t>
            </w:r>
          </w:p>
        </w:tc>
        <w:tc>
          <w:tcPr>
            <w:tcW w:w="647" w:type="pct"/>
            <w:vAlign w:val="center"/>
          </w:tcPr>
          <w:p w:rsidR="0015791A" w:rsidRDefault="006D72F1">
            <w:pPr>
              <w:spacing w:line="560" w:lineRule="exact"/>
              <w:jc w:val="center"/>
            </w:pPr>
            <w:r>
              <w:t>国家矿山安全监察局山东局</w:t>
            </w:r>
          </w:p>
        </w:tc>
        <w:tc>
          <w:tcPr>
            <w:tcW w:w="459" w:type="pct"/>
            <w:vAlign w:val="center"/>
          </w:tcPr>
          <w:p w:rsidR="0015791A" w:rsidRDefault="006D72F1">
            <w:pPr>
              <w:spacing w:line="560" w:lineRule="exact"/>
              <w:jc w:val="center"/>
            </w:pPr>
            <w:r>
              <w:rPr>
                <w:rFonts w:hint="eastAsia"/>
              </w:rPr>
              <w:t>山东万祥矿业有限公司</w:t>
            </w:r>
            <w:r>
              <w:rPr>
                <w:rFonts w:hint="eastAsia"/>
              </w:rPr>
              <w:lastRenderedPageBreak/>
              <w:t>潘西煤矿</w:t>
            </w:r>
          </w:p>
        </w:tc>
        <w:tc>
          <w:tcPr>
            <w:tcW w:w="2084" w:type="pct"/>
            <w:vAlign w:val="center"/>
          </w:tcPr>
          <w:p w:rsidR="0015791A" w:rsidRDefault="006D72F1">
            <w:pPr>
              <w:spacing w:line="560" w:lineRule="exact"/>
            </w:pPr>
            <w:r>
              <w:lastRenderedPageBreak/>
              <w:t>潘西煤矿-740前六轨道上山上段和前</w:t>
            </w:r>
            <w:proofErr w:type="gramStart"/>
            <w:r>
              <w:t>六运输</w:t>
            </w:r>
            <w:proofErr w:type="gramEnd"/>
            <w:r>
              <w:t>上山上段均为回风巷道，2023年2月24日施工完成的前</w:t>
            </w:r>
            <w:proofErr w:type="gramStart"/>
            <w:r>
              <w:t>六运输</w:t>
            </w:r>
            <w:proofErr w:type="gramEnd"/>
            <w:r>
              <w:t>上山上段与前六总回风巷平面交岔，未按照批复的采区设计形成</w:t>
            </w:r>
            <w:r>
              <w:lastRenderedPageBreak/>
              <w:t>通风系统，并已掘进6305西上巷、6305</w:t>
            </w:r>
            <w:proofErr w:type="gramStart"/>
            <w:r>
              <w:t>西切眼</w:t>
            </w:r>
            <w:proofErr w:type="gramEnd"/>
            <w:r>
              <w:t>、6305东上巷，违反了《煤矿安全规程》第一百四十九条第二款的规定，属于《煤矿重大事故隐患判定标准》（中华人民共和国应急管理部令第4号）第八条第四项 “未按照设计形成通风系统”情形，构成《国务院关于预防煤矿生产安全事故的特别规定》第八条第二款第五项“通风系统不完善、不可靠”重大安全生产隐患</w:t>
            </w:r>
            <w:r>
              <w:rPr>
                <w:rFonts w:hint="eastAsia"/>
              </w:rPr>
              <w:t>。</w:t>
            </w:r>
          </w:p>
        </w:tc>
        <w:tc>
          <w:tcPr>
            <w:tcW w:w="411" w:type="pct"/>
            <w:vAlign w:val="center"/>
          </w:tcPr>
          <w:p w:rsidR="0015791A" w:rsidRDefault="006D72F1">
            <w:pPr>
              <w:spacing w:line="560" w:lineRule="exact"/>
            </w:pPr>
            <w:r>
              <w:rPr>
                <w:rFonts w:hint="eastAsia"/>
              </w:rPr>
              <w:lastRenderedPageBreak/>
              <w:t>《国务院关于预防煤矿</w:t>
            </w:r>
            <w:r>
              <w:rPr>
                <w:rFonts w:hint="eastAsia"/>
              </w:rPr>
              <w:lastRenderedPageBreak/>
              <w:t>生产安全事故的特别规定》第十条第一款</w:t>
            </w:r>
          </w:p>
        </w:tc>
        <w:tc>
          <w:tcPr>
            <w:tcW w:w="445" w:type="pct"/>
            <w:vAlign w:val="center"/>
          </w:tcPr>
          <w:p w:rsidR="0015791A" w:rsidRDefault="006D72F1">
            <w:pPr>
              <w:spacing w:line="560" w:lineRule="exact"/>
            </w:pPr>
            <w:r>
              <w:rPr>
                <w:rFonts w:hint="eastAsia"/>
              </w:rPr>
              <w:lastRenderedPageBreak/>
              <w:t>罚款人民币一百五十五</w:t>
            </w:r>
            <w:r>
              <w:rPr>
                <w:rFonts w:hint="eastAsia"/>
              </w:rPr>
              <w:lastRenderedPageBreak/>
              <w:t>万元整</w:t>
            </w:r>
          </w:p>
        </w:tc>
      </w:tr>
      <w:tr w:rsidR="0015791A">
        <w:tc>
          <w:tcPr>
            <w:tcW w:w="386" w:type="pct"/>
            <w:vAlign w:val="center"/>
          </w:tcPr>
          <w:p w:rsidR="0015791A" w:rsidRDefault="006D72F1">
            <w:pPr>
              <w:spacing w:line="560" w:lineRule="exact"/>
            </w:pPr>
            <w:r>
              <w:rPr>
                <w:rFonts w:hint="eastAsia"/>
              </w:rPr>
              <w:lastRenderedPageBreak/>
              <w:t>4</w:t>
            </w:r>
          </w:p>
        </w:tc>
        <w:tc>
          <w:tcPr>
            <w:tcW w:w="566" w:type="pct"/>
            <w:vAlign w:val="center"/>
          </w:tcPr>
          <w:p w:rsidR="0015791A" w:rsidRDefault="006D72F1" w:rsidP="006D72F1">
            <w:pPr>
              <w:spacing w:line="560" w:lineRule="exact"/>
              <w:jc w:val="center"/>
            </w:pPr>
            <w:r>
              <w:rPr>
                <w:rFonts w:hint="eastAsia"/>
              </w:rPr>
              <w:t>2023年5月</w:t>
            </w:r>
            <w:r>
              <w:t>22</w:t>
            </w:r>
            <w:r>
              <w:rPr>
                <w:rFonts w:hint="eastAsia"/>
              </w:rPr>
              <w:t>日</w:t>
            </w:r>
          </w:p>
        </w:tc>
        <w:tc>
          <w:tcPr>
            <w:tcW w:w="647" w:type="pct"/>
            <w:vAlign w:val="center"/>
          </w:tcPr>
          <w:p w:rsidR="0015791A" w:rsidRDefault="006D72F1">
            <w:pPr>
              <w:spacing w:line="560" w:lineRule="exact"/>
              <w:jc w:val="center"/>
            </w:pPr>
            <w:r>
              <w:t>国家矿山安全监察局山东局</w:t>
            </w:r>
          </w:p>
        </w:tc>
        <w:tc>
          <w:tcPr>
            <w:tcW w:w="459" w:type="pct"/>
            <w:vAlign w:val="center"/>
          </w:tcPr>
          <w:p w:rsidR="0015791A" w:rsidRDefault="006D72F1">
            <w:pPr>
              <w:spacing w:line="560" w:lineRule="exact"/>
              <w:jc w:val="center"/>
            </w:pPr>
            <w:r>
              <w:rPr>
                <w:rFonts w:hint="eastAsia"/>
              </w:rPr>
              <w:t>聂某某</w:t>
            </w:r>
          </w:p>
        </w:tc>
        <w:tc>
          <w:tcPr>
            <w:tcW w:w="2084" w:type="pct"/>
            <w:vAlign w:val="center"/>
          </w:tcPr>
          <w:p w:rsidR="0015791A" w:rsidRDefault="006D72F1">
            <w:pPr>
              <w:spacing w:line="560" w:lineRule="exact"/>
            </w:pPr>
            <w:r>
              <w:t>潘西煤矿-740前六轨道上山上段和前</w:t>
            </w:r>
            <w:proofErr w:type="gramStart"/>
            <w:r>
              <w:t>六运输</w:t>
            </w:r>
            <w:proofErr w:type="gramEnd"/>
            <w:r>
              <w:t>上山上段均为回风巷道，2023年2月24日施工完成的前</w:t>
            </w:r>
            <w:proofErr w:type="gramStart"/>
            <w:r>
              <w:t>六运输</w:t>
            </w:r>
            <w:proofErr w:type="gramEnd"/>
            <w:r>
              <w:t>上山上段与前六总回风巷平面交岔，未按照批复的采区设计形成通风系统，并已掘进6305西上巷、6305</w:t>
            </w:r>
            <w:proofErr w:type="gramStart"/>
            <w:r>
              <w:t>西切眼</w:t>
            </w:r>
            <w:proofErr w:type="gramEnd"/>
            <w:r>
              <w:t>、6305东上巷，违反了《煤矿安全规程》第一百四十九条第二款的规定，属于《煤矿重大事故隐患判定标准》（中华人民共和国应急管理部令第4号）第八条第四项 “未按照设计形成通风系统”情形，构成《国务院关于预防煤矿生产安全</w:t>
            </w:r>
            <w:r>
              <w:lastRenderedPageBreak/>
              <w:t>事故的特别规定》第八条第二款第五项“通风系统不完善、不可靠”重大安全生产隐患</w:t>
            </w:r>
            <w:r>
              <w:rPr>
                <w:rFonts w:hint="eastAsia"/>
              </w:rPr>
              <w:t>。</w:t>
            </w:r>
          </w:p>
        </w:tc>
        <w:tc>
          <w:tcPr>
            <w:tcW w:w="411" w:type="pct"/>
            <w:vAlign w:val="center"/>
          </w:tcPr>
          <w:p w:rsidR="0015791A" w:rsidRDefault="006D72F1">
            <w:pPr>
              <w:spacing w:line="560" w:lineRule="exact"/>
            </w:pPr>
            <w:r>
              <w:rPr>
                <w:rFonts w:hint="eastAsia"/>
              </w:rPr>
              <w:lastRenderedPageBreak/>
              <w:t>《国务院关于预防煤矿生产安全事故的特别规定》第十条第</w:t>
            </w:r>
            <w:r>
              <w:rPr>
                <w:rFonts w:hint="eastAsia"/>
              </w:rPr>
              <w:lastRenderedPageBreak/>
              <w:t>一款</w:t>
            </w:r>
          </w:p>
        </w:tc>
        <w:tc>
          <w:tcPr>
            <w:tcW w:w="445" w:type="pct"/>
            <w:vAlign w:val="center"/>
          </w:tcPr>
          <w:p w:rsidR="0015791A" w:rsidRDefault="006D72F1">
            <w:pPr>
              <w:spacing w:line="560" w:lineRule="exact"/>
            </w:pPr>
            <w:r>
              <w:rPr>
                <w:rFonts w:hint="eastAsia"/>
              </w:rPr>
              <w:lastRenderedPageBreak/>
              <w:t>罚款人民币七万元整</w:t>
            </w:r>
          </w:p>
        </w:tc>
      </w:tr>
      <w:tr w:rsidR="0015791A">
        <w:tc>
          <w:tcPr>
            <w:tcW w:w="386" w:type="pct"/>
            <w:vAlign w:val="center"/>
          </w:tcPr>
          <w:p w:rsidR="0015791A" w:rsidRDefault="006D72F1">
            <w:pPr>
              <w:spacing w:line="560" w:lineRule="exact"/>
            </w:pPr>
            <w:r>
              <w:rPr>
                <w:rFonts w:hint="eastAsia"/>
              </w:rPr>
              <w:t>5</w:t>
            </w:r>
          </w:p>
        </w:tc>
        <w:tc>
          <w:tcPr>
            <w:tcW w:w="566" w:type="pct"/>
            <w:vAlign w:val="center"/>
          </w:tcPr>
          <w:p w:rsidR="0015791A" w:rsidRDefault="006D72F1" w:rsidP="006D72F1">
            <w:pPr>
              <w:spacing w:line="560" w:lineRule="exact"/>
              <w:jc w:val="center"/>
            </w:pPr>
            <w:r>
              <w:rPr>
                <w:rFonts w:hint="eastAsia"/>
              </w:rPr>
              <w:t>2023年5月</w:t>
            </w:r>
            <w:r>
              <w:t>22</w:t>
            </w:r>
            <w:r>
              <w:rPr>
                <w:rFonts w:hint="eastAsia"/>
              </w:rPr>
              <w:t>日</w:t>
            </w:r>
          </w:p>
        </w:tc>
        <w:tc>
          <w:tcPr>
            <w:tcW w:w="647" w:type="pct"/>
            <w:vAlign w:val="center"/>
          </w:tcPr>
          <w:p w:rsidR="0015791A" w:rsidRDefault="006D72F1">
            <w:pPr>
              <w:spacing w:line="560" w:lineRule="exact"/>
              <w:jc w:val="center"/>
            </w:pPr>
            <w:r>
              <w:t>国家矿山安全监察局山东局</w:t>
            </w:r>
          </w:p>
        </w:tc>
        <w:tc>
          <w:tcPr>
            <w:tcW w:w="459" w:type="pct"/>
            <w:vAlign w:val="center"/>
          </w:tcPr>
          <w:p w:rsidR="0015791A" w:rsidRDefault="006D72F1">
            <w:pPr>
              <w:spacing w:line="560" w:lineRule="exact"/>
              <w:jc w:val="center"/>
            </w:pPr>
            <w:r>
              <w:rPr>
                <w:rFonts w:hint="eastAsia"/>
              </w:rPr>
              <w:t>郝某某</w:t>
            </w:r>
          </w:p>
        </w:tc>
        <w:tc>
          <w:tcPr>
            <w:tcW w:w="2084" w:type="pct"/>
            <w:vAlign w:val="center"/>
          </w:tcPr>
          <w:p w:rsidR="0015791A" w:rsidRDefault="006D72F1">
            <w:pPr>
              <w:spacing w:line="560" w:lineRule="exact"/>
            </w:pPr>
            <w:r>
              <w:t>潘西煤矿-740前六轨道上山上段和前</w:t>
            </w:r>
            <w:proofErr w:type="gramStart"/>
            <w:r>
              <w:t>六运输</w:t>
            </w:r>
            <w:proofErr w:type="gramEnd"/>
            <w:r>
              <w:t>上山上段均为回风巷道，2023年2月24日施工完成的前</w:t>
            </w:r>
            <w:proofErr w:type="gramStart"/>
            <w:r>
              <w:t>六运输</w:t>
            </w:r>
            <w:proofErr w:type="gramEnd"/>
            <w:r>
              <w:t>上山上段与前六总回风巷平面交岔，未按照批复的采区设计形成通风系统，并已掘进6305西上巷、6305</w:t>
            </w:r>
            <w:proofErr w:type="gramStart"/>
            <w:r>
              <w:t>西切眼</w:t>
            </w:r>
            <w:proofErr w:type="gramEnd"/>
            <w:r>
              <w:t>、6305东上巷，违反了《煤矿安全规程》第一百四十九条第二款的规定，属于《煤矿重大事故隐患判定标准》（中华人民共和国应急管理部令第4号）第八条第四项 “未按照设计形成通风系统”情形，构成《国务院关于预防煤矿生产安全事故的特别规定》第八条第二款第五项“通风系统不完善、不可靠”重大安全生产隐患</w:t>
            </w:r>
            <w:r>
              <w:rPr>
                <w:rFonts w:hint="eastAsia"/>
              </w:rPr>
              <w:t>。</w:t>
            </w:r>
          </w:p>
        </w:tc>
        <w:tc>
          <w:tcPr>
            <w:tcW w:w="411" w:type="pct"/>
            <w:vAlign w:val="center"/>
          </w:tcPr>
          <w:p w:rsidR="0015791A" w:rsidRDefault="006D72F1">
            <w:pPr>
              <w:spacing w:line="560" w:lineRule="exact"/>
            </w:pPr>
            <w:r>
              <w:rPr>
                <w:rFonts w:hint="eastAsia"/>
              </w:rPr>
              <w:t>《国务院关于预防煤矿生产安全事故的特别规定》第十条第一款</w:t>
            </w:r>
          </w:p>
        </w:tc>
        <w:tc>
          <w:tcPr>
            <w:tcW w:w="445" w:type="pct"/>
            <w:vAlign w:val="center"/>
          </w:tcPr>
          <w:p w:rsidR="0015791A" w:rsidRDefault="006D72F1">
            <w:pPr>
              <w:spacing w:line="560" w:lineRule="exact"/>
            </w:pPr>
            <w:r>
              <w:rPr>
                <w:rFonts w:hint="eastAsia"/>
              </w:rPr>
              <w:t>罚款人民币三万元整</w:t>
            </w:r>
          </w:p>
        </w:tc>
      </w:tr>
    </w:tbl>
    <w:p w:rsidR="0015791A" w:rsidRDefault="0015791A">
      <w:pPr>
        <w:spacing w:line="600" w:lineRule="exact"/>
        <w:rPr>
          <w:rFonts w:ascii="方正小标宋简体" w:eastAsia="方正小标宋简体"/>
          <w:sz w:val="32"/>
          <w:szCs w:val="32"/>
        </w:rPr>
      </w:pPr>
    </w:p>
    <w:sectPr w:rsidR="00157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DJjYjg4M2Q0MDc1Y2IzYzNlMzhiY2UwN2QxZGIifQ=="/>
  </w:docVars>
  <w:rsids>
    <w:rsidRoot w:val="009A28AA"/>
    <w:rsid w:val="00155351"/>
    <w:rsid w:val="0015791A"/>
    <w:rsid w:val="003C62C9"/>
    <w:rsid w:val="006D72F1"/>
    <w:rsid w:val="00842989"/>
    <w:rsid w:val="009A28AA"/>
    <w:rsid w:val="00B9260B"/>
    <w:rsid w:val="00CF7B4F"/>
    <w:rsid w:val="00D806A3"/>
    <w:rsid w:val="00F12EB1"/>
    <w:rsid w:val="00F60CD3"/>
    <w:rsid w:val="01D152A8"/>
    <w:rsid w:val="01F83B55"/>
    <w:rsid w:val="03036426"/>
    <w:rsid w:val="03654397"/>
    <w:rsid w:val="03AD60B9"/>
    <w:rsid w:val="03B66504"/>
    <w:rsid w:val="03CE5F43"/>
    <w:rsid w:val="05F81055"/>
    <w:rsid w:val="0617661D"/>
    <w:rsid w:val="0619136B"/>
    <w:rsid w:val="072E0AA7"/>
    <w:rsid w:val="075C3866"/>
    <w:rsid w:val="08220948"/>
    <w:rsid w:val="089C0A29"/>
    <w:rsid w:val="099C263F"/>
    <w:rsid w:val="09CB6A81"/>
    <w:rsid w:val="09EB7F0E"/>
    <w:rsid w:val="0A1C398A"/>
    <w:rsid w:val="0B377B1A"/>
    <w:rsid w:val="0B3A5555"/>
    <w:rsid w:val="0B662F05"/>
    <w:rsid w:val="0C65177C"/>
    <w:rsid w:val="0C715264"/>
    <w:rsid w:val="0D8F1A83"/>
    <w:rsid w:val="0DA7768B"/>
    <w:rsid w:val="0E23171A"/>
    <w:rsid w:val="0E322250"/>
    <w:rsid w:val="0E963B01"/>
    <w:rsid w:val="0F4F39DF"/>
    <w:rsid w:val="0FCB1DB3"/>
    <w:rsid w:val="11162CD7"/>
    <w:rsid w:val="11282449"/>
    <w:rsid w:val="121F5BBC"/>
    <w:rsid w:val="122D652B"/>
    <w:rsid w:val="12661A3D"/>
    <w:rsid w:val="12937868"/>
    <w:rsid w:val="12B93531"/>
    <w:rsid w:val="12F41711"/>
    <w:rsid w:val="132A1F4C"/>
    <w:rsid w:val="134F0723"/>
    <w:rsid w:val="140429BF"/>
    <w:rsid w:val="140B289C"/>
    <w:rsid w:val="143E6183"/>
    <w:rsid w:val="152C18E6"/>
    <w:rsid w:val="1565422D"/>
    <w:rsid w:val="15B96261"/>
    <w:rsid w:val="15F5110D"/>
    <w:rsid w:val="17343EB7"/>
    <w:rsid w:val="178305A9"/>
    <w:rsid w:val="17872239"/>
    <w:rsid w:val="17E27696"/>
    <w:rsid w:val="18471422"/>
    <w:rsid w:val="19B8135C"/>
    <w:rsid w:val="19D144D1"/>
    <w:rsid w:val="19E27BFB"/>
    <w:rsid w:val="1A50725A"/>
    <w:rsid w:val="1A7121C7"/>
    <w:rsid w:val="1ACE4623"/>
    <w:rsid w:val="1B3C77DE"/>
    <w:rsid w:val="1BA209B1"/>
    <w:rsid w:val="1BA5332B"/>
    <w:rsid w:val="1BDA716C"/>
    <w:rsid w:val="1BFD6A69"/>
    <w:rsid w:val="1CE420E4"/>
    <w:rsid w:val="1D793798"/>
    <w:rsid w:val="1E3F4E33"/>
    <w:rsid w:val="1E71154D"/>
    <w:rsid w:val="1E7A2AF8"/>
    <w:rsid w:val="1FFB1A16"/>
    <w:rsid w:val="20DF30E6"/>
    <w:rsid w:val="21803E7A"/>
    <w:rsid w:val="2186630B"/>
    <w:rsid w:val="219C0FD7"/>
    <w:rsid w:val="21D41D44"/>
    <w:rsid w:val="21D70261"/>
    <w:rsid w:val="221A1EFC"/>
    <w:rsid w:val="22CD4B58"/>
    <w:rsid w:val="23616034"/>
    <w:rsid w:val="23D948B6"/>
    <w:rsid w:val="24311EAA"/>
    <w:rsid w:val="25302162"/>
    <w:rsid w:val="25D36F91"/>
    <w:rsid w:val="26D340DF"/>
    <w:rsid w:val="26F53A8B"/>
    <w:rsid w:val="279A3435"/>
    <w:rsid w:val="28033B5E"/>
    <w:rsid w:val="281718E3"/>
    <w:rsid w:val="28506677"/>
    <w:rsid w:val="29293A4D"/>
    <w:rsid w:val="29965E75"/>
    <w:rsid w:val="29B36EBE"/>
    <w:rsid w:val="2A77438F"/>
    <w:rsid w:val="2B6F150A"/>
    <w:rsid w:val="2BA83B90"/>
    <w:rsid w:val="2C2B1DDC"/>
    <w:rsid w:val="2C2E1416"/>
    <w:rsid w:val="2CF12341"/>
    <w:rsid w:val="2CF244C8"/>
    <w:rsid w:val="2D6D3827"/>
    <w:rsid w:val="2D964B2C"/>
    <w:rsid w:val="2DB21A0B"/>
    <w:rsid w:val="2E40405C"/>
    <w:rsid w:val="2E9D17F4"/>
    <w:rsid w:val="2EDD1D3F"/>
    <w:rsid w:val="2EFE7BEE"/>
    <w:rsid w:val="2F437393"/>
    <w:rsid w:val="2F551F1B"/>
    <w:rsid w:val="3015111F"/>
    <w:rsid w:val="30843362"/>
    <w:rsid w:val="30E262DA"/>
    <w:rsid w:val="3118662D"/>
    <w:rsid w:val="314C21F0"/>
    <w:rsid w:val="31602E69"/>
    <w:rsid w:val="316B2774"/>
    <w:rsid w:val="31A812D2"/>
    <w:rsid w:val="32537490"/>
    <w:rsid w:val="325B6344"/>
    <w:rsid w:val="326E6078"/>
    <w:rsid w:val="335632A8"/>
    <w:rsid w:val="33843679"/>
    <w:rsid w:val="341258F7"/>
    <w:rsid w:val="34FF38FF"/>
    <w:rsid w:val="35242D43"/>
    <w:rsid w:val="36E14EFD"/>
    <w:rsid w:val="37184804"/>
    <w:rsid w:val="37490E61"/>
    <w:rsid w:val="38244B3F"/>
    <w:rsid w:val="38B2060F"/>
    <w:rsid w:val="38EF3C8A"/>
    <w:rsid w:val="39170469"/>
    <w:rsid w:val="39475874"/>
    <w:rsid w:val="394F3EB2"/>
    <w:rsid w:val="39553A04"/>
    <w:rsid w:val="39CC1FD4"/>
    <w:rsid w:val="39FA611B"/>
    <w:rsid w:val="3A2D05C6"/>
    <w:rsid w:val="3B6B0E15"/>
    <w:rsid w:val="3CB65536"/>
    <w:rsid w:val="3D94517E"/>
    <w:rsid w:val="3E073E62"/>
    <w:rsid w:val="3E883138"/>
    <w:rsid w:val="3E9230EE"/>
    <w:rsid w:val="3ECE683E"/>
    <w:rsid w:val="3F5E7474"/>
    <w:rsid w:val="3F6921D3"/>
    <w:rsid w:val="3F984734"/>
    <w:rsid w:val="40302BBE"/>
    <w:rsid w:val="40CA6929"/>
    <w:rsid w:val="41990C37"/>
    <w:rsid w:val="419929E5"/>
    <w:rsid w:val="4217001E"/>
    <w:rsid w:val="42925DB2"/>
    <w:rsid w:val="42A536C4"/>
    <w:rsid w:val="43601655"/>
    <w:rsid w:val="43C130B9"/>
    <w:rsid w:val="44366D09"/>
    <w:rsid w:val="44466E54"/>
    <w:rsid w:val="45515F3F"/>
    <w:rsid w:val="456A4A37"/>
    <w:rsid w:val="45DD69B0"/>
    <w:rsid w:val="46054AED"/>
    <w:rsid w:val="46875991"/>
    <w:rsid w:val="468D1068"/>
    <w:rsid w:val="46CB3447"/>
    <w:rsid w:val="46DF2797"/>
    <w:rsid w:val="47181CE2"/>
    <w:rsid w:val="476F63D8"/>
    <w:rsid w:val="47CF0F0F"/>
    <w:rsid w:val="48381E5A"/>
    <w:rsid w:val="492D0E0D"/>
    <w:rsid w:val="499915E6"/>
    <w:rsid w:val="49A81A17"/>
    <w:rsid w:val="49D929E2"/>
    <w:rsid w:val="4AE50399"/>
    <w:rsid w:val="4C2D77DD"/>
    <w:rsid w:val="4C5313C2"/>
    <w:rsid w:val="4C681932"/>
    <w:rsid w:val="4D01546D"/>
    <w:rsid w:val="4D2F51C9"/>
    <w:rsid w:val="4D7D140D"/>
    <w:rsid w:val="4E6065B4"/>
    <w:rsid w:val="4E8F102E"/>
    <w:rsid w:val="4EAC01FC"/>
    <w:rsid w:val="4F135B85"/>
    <w:rsid w:val="4F8B0F82"/>
    <w:rsid w:val="4FE17A31"/>
    <w:rsid w:val="50D91050"/>
    <w:rsid w:val="51B52B9B"/>
    <w:rsid w:val="528B0128"/>
    <w:rsid w:val="54136627"/>
    <w:rsid w:val="544669FD"/>
    <w:rsid w:val="546D21DB"/>
    <w:rsid w:val="54E67898"/>
    <w:rsid w:val="55320D2F"/>
    <w:rsid w:val="55AA4A4A"/>
    <w:rsid w:val="55C951EF"/>
    <w:rsid w:val="56310FE7"/>
    <w:rsid w:val="56794E67"/>
    <w:rsid w:val="568B0618"/>
    <w:rsid w:val="56D43FF9"/>
    <w:rsid w:val="56FA41F7"/>
    <w:rsid w:val="59684127"/>
    <w:rsid w:val="597723F1"/>
    <w:rsid w:val="5B4571D1"/>
    <w:rsid w:val="5B767BC7"/>
    <w:rsid w:val="5BA32AEB"/>
    <w:rsid w:val="5BE72873"/>
    <w:rsid w:val="5BFC5F8B"/>
    <w:rsid w:val="5C0F12B5"/>
    <w:rsid w:val="5C1D44E7"/>
    <w:rsid w:val="5C4C66A6"/>
    <w:rsid w:val="5C9E6ABB"/>
    <w:rsid w:val="5D5E0913"/>
    <w:rsid w:val="5D97798C"/>
    <w:rsid w:val="5DF474C9"/>
    <w:rsid w:val="5E172F41"/>
    <w:rsid w:val="5E2E29DB"/>
    <w:rsid w:val="5E8F46B0"/>
    <w:rsid w:val="5F4D571A"/>
    <w:rsid w:val="60624BBE"/>
    <w:rsid w:val="60870E00"/>
    <w:rsid w:val="60BB0678"/>
    <w:rsid w:val="61031D41"/>
    <w:rsid w:val="61113EEE"/>
    <w:rsid w:val="617701F5"/>
    <w:rsid w:val="61D62B6D"/>
    <w:rsid w:val="62724F75"/>
    <w:rsid w:val="62BB43D3"/>
    <w:rsid w:val="635051A2"/>
    <w:rsid w:val="641A755E"/>
    <w:rsid w:val="653852D2"/>
    <w:rsid w:val="654B2228"/>
    <w:rsid w:val="65C43C25"/>
    <w:rsid w:val="665B2747"/>
    <w:rsid w:val="66686AE0"/>
    <w:rsid w:val="66BA1D15"/>
    <w:rsid w:val="676E3E49"/>
    <w:rsid w:val="681731B9"/>
    <w:rsid w:val="689F6470"/>
    <w:rsid w:val="68B41D2F"/>
    <w:rsid w:val="68E00D76"/>
    <w:rsid w:val="69C73CE4"/>
    <w:rsid w:val="69DA7573"/>
    <w:rsid w:val="6A402F3C"/>
    <w:rsid w:val="6A837922"/>
    <w:rsid w:val="6ABC77E1"/>
    <w:rsid w:val="6B425E76"/>
    <w:rsid w:val="6C5C4BB7"/>
    <w:rsid w:val="6D163C1A"/>
    <w:rsid w:val="6D7B106D"/>
    <w:rsid w:val="6E031818"/>
    <w:rsid w:val="6E183B15"/>
    <w:rsid w:val="6F4B53AA"/>
    <w:rsid w:val="71240910"/>
    <w:rsid w:val="71542301"/>
    <w:rsid w:val="71936316"/>
    <w:rsid w:val="71E663AE"/>
    <w:rsid w:val="72435ED2"/>
    <w:rsid w:val="72832485"/>
    <w:rsid w:val="73264D59"/>
    <w:rsid w:val="73692834"/>
    <w:rsid w:val="73927235"/>
    <w:rsid w:val="73975487"/>
    <w:rsid w:val="73AF43FE"/>
    <w:rsid w:val="744F588B"/>
    <w:rsid w:val="74E92D60"/>
    <w:rsid w:val="750F16EE"/>
    <w:rsid w:val="75D51537"/>
    <w:rsid w:val="76742AFE"/>
    <w:rsid w:val="76973541"/>
    <w:rsid w:val="76A827A7"/>
    <w:rsid w:val="7718792D"/>
    <w:rsid w:val="77DD3ED1"/>
    <w:rsid w:val="77F52486"/>
    <w:rsid w:val="78006D3F"/>
    <w:rsid w:val="7899612E"/>
    <w:rsid w:val="78D2690F"/>
    <w:rsid w:val="78F16E2C"/>
    <w:rsid w:val="79295E21"/>
    <w:rsid w:val="79EA1C25"/>
    <w:rsid w:val="7A1B5499"/>
    <w:rsid w:val="7AB60E4E"/>
    <w:rsid w:val="7AD04722"/>
    <w:rsid w:val="7B0A0BE8"/>
    <w:rsid w:val="7BBE3A2C"/>
    <w:rsid w:val="7BC3200F"/>
    <w:rsid w:val="7BE46176"/>
    <w:rsid w:val="7C607CAF"/>
    <w:rsid w:val="7CAD7638"/>
    <w:rsid w:val="7D1F7C67"/>
    <w:rsid w:val="7D6C2781"/>
    <w:rsid w:val="7E2766A8"/>
    <w:rsid w:val="7F3D2B0E"/>
    <w:rsid w:val="7F500121"/>
    <w:rsid w:val="7FB014E1"/>
    <w:rsid w:val="7FB421BD"/>
    <w:rsid w:val="7FCC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6CE36"/>
  <w15:docId w15:val="{7A33A04A-45D5-43A6-A723-F491E5D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512</Words>
  <Characters>2923</Characters>
  <Application>Microsoft Office Word</Application>
  <DocSecurity>0</DocSecurity>
  <Lines>24</Lines>
  <Paragraphs>6</Paragraphs>
  <ScaleCrop>false</ScaleCrop>
  <Company>sdmj</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李为忠</cp:lastModifiedBy>
  <cp:revision>7</cp:revision>
  <dcterms:created xsi:type="dcterms:W3CDTF">2022-05-19T06:29:00Z</dcterms:created>
  <dcterms:modified xsi:type="dcterms:W3CDTF">2023-05-24T00:31:00Z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35779084BF844A67B836188ED9C349F9</vt:lpwstr>
  </property>
</Properties>
</file>