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</w:t>
      </w:r>
    </w:p>
    <w:p>
      <w:pPr>
        <w:pStyle w:val="5"/>
        <w:spacing w:line="560" w:lineRule="exact"/>
        <w:ind w:firstLine="632"/>
        <w:rPr>
          <w:rFonts w:ascii="仿宋_GB2312" w:hAnsi="仿宋" w:cs="仿宋_GB2312"/>
        </w:rPr>
      </w:pPr>
      <w:r>
        <w:rPr>
          <w:rFonts w:hint="eastAsia" w:ascii="仿宋_GB2312" w:hAnsi="仿宋" w:cs="仿宋_GB2312"/>
        </w:rPr>
        <w:t xml:space="preserve">    </w:t>
      </w:r>
    </w:p>
    <w:p>
      <w:pPr>
        <w:pStyle w:val="5"/>
        <w:spacing w:line="560" w:lineRule="exact"/>
        <w:ind w:firstLine="0" w:firstLineChars="0"/>
        <w:jc w:val="center"/>
        <w:rPr>
          <w:rFonts w:ascii="方正小标宋简体" w:hAnsi="仿宋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_GB2312"/>
          <w:sz w:val="36"/>
          <w:szCs w:val="36"/>
        </w:rPr>
        <w:t>第一专项工作组202</w:t>
      </w:r>
      <w:r>
        <w:rPr>
          <w:rFonts w:ascii="方正小标宋简体" w:hAnsi="仿宋" w:eastAsia="方正小标宋简体" w:cs="仿宋_GB2312"/>
          <w:sz w:val="36"/>
          <w:szCs w:val="36"/>
        </w:rPr>
        <w:t>3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年第6批行政处罚信息公开表</w:t>
      </w:r>
    </w:p>
    <w:bookmarkEnd w:id="0"/>
    <w:p>
      <w:pPr>
        <w:pStyle w:val="5"/>
        <w:spacing w:line="560" w:lineRule="exact"/>
        <w:ind w:firstLine="1252" w:firstLineChars="396"/>
        <w:rPr>
          <w:rFonts w:ascii="楷体" w:hAnsi="楷体" w:eastAsia="楷体"/>
        </w:rPr>
      </w:pPr>
    </w:p>
    <w:tbl>
      <w:tblPr>
        <w:tblStyle w:val="3"/>
        <w:tblW w:w="13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5"/>
        <w:gridCol w:w="1122"/>
        <w:gridCol w:w="1239"/>
        <w:gridCol w:w="5746"/>
        <w:gridCol w:w="196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执法决定日期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执法主体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执法对象</w:t>
            </w:r>
          </w:p>
        </w:tc>
        <w:tc>
          <w:tcPr>
            <w:tcW w:w="574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违法违规事实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处罚依据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处罚内容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2023年5月9日</w:t>
            </w:r>
          </w:p>
        </w:tc>
        <w:tc>
          <w:tcPr>
            <w:tcW w:w="1122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国家矿山安全监察局山东局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山东滕州辰龙能源集团有限公司</w:t>
            </w:r>
          </w:p>
        </w:tc>
        <w:tc>
          <w:tcPr>
            <w:tcW w:w="57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技术负责人2023年1月份下井3个，数量达不到要求（每月不少于4个）。不符合集团公司《领导干部下井及带班管理制度》要求。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《安全生产违法行为行政处罚办法》第四十五条第一项。</w:t>
            </w: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szCs w:val="22"/>
              </w:rPr>
              <w:t>给予警告，对企业处2万元罚款。对责任人殷</w:t>
            </w:r>
            <w:r>
              <w:rPr>
                <w:rFonts w:hint="eastAsia" w:ascii="仿宋_GB2312" w:hAnsi="宋体"/>
                <w:sz w:val="24"/>
              </w:rPr>
              <w:t>某某罚款0.4万元。</w:t>
            </w:r>
          </w:p>
        </w:tc>
      </w:tr>
    </w:tbl>
    <w:p>
      <w:pPr>
        <w:spacing w:line="560" w:lineRule="exact"/>
      </w:pPr>
    </w:p>
    <w:p/>
    <w:p/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36036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Q5MjVmZmI1NjdiOWVlZTZkZTkyMTZjMDRlMTcifQ=="/>
  </w:docVars>
  <w:rsids>
    <w:rsidRoot w:val="6E3036D8"/>
    <w:rsid w:val="6E30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样式4"/>
    <w:basedOn w:val="1"/>
    <w:qFormat/>
    <w:uiPriority w:val="0"/>
    <w:pPr>
      <w:spacing w:line="600" w:lineRule="exact"/>
      <w:ind w:firstLine="628" w:firstLineChars="20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312</Characters>
  <Lines>0</Lines>
  <Paragraphs>0</Paragraphs>
  <TotalTime>0</TotalTime>
  <ScaleCrop>false</ScaleCrop>
  <LinksUpToDate>false</LinksUpToDate>
  <CharactersWithSpaces>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2023-05-11T08:52:00Z</dcterms:created>
  <dc:creator>李澎</dc:creator>
  <cp:lastModifiedBy>李澎</cp:lastModifiedBy>
  <dcterms:modified xsi:type="dcterms:W3CDTF">2023-05-11T08:53:10Z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330079F453E149F4AB4B3825F93E8CC2_11</vt:lpwstr>
  </property>
</Properties>
</file>