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A2" w:rsidRPr="001E3879" w:rsidRDefault="00C103A2" w:rsidP="00C103A2">
      <w:pPr>
        <w:spacing w:line="560" w:lineRule="exact"/>
        <w:rPr>
          <w:rFonts w:ascii="仿宋_GB2312" w:hAnsi="等线"/>
          <w:color w:val="000000" w:themeColor="text1"/>
          <w:szCs w:val="32"/>
        </w:rPr>
      </w:pPr>
    </w:p>
    <w:p w:rsidR="00C103A2" w:rsidRPr="001E3879" w:rsidRDefault="00C103A2" w:rsidP="00C103A2">
      <w:pPr>
        <w:spacing w:line="560" w:lineRule="exact"/>
        <w:jc w:val="center"/>
        <w:rPr>
          <w:rFonts w:ascii="方正小标宋简体" w:eastAsia="方正小标宋简体" w:hAnsi="等线"/>
          <w:color w:val="000000" w:themeColor="text1"/>
          <w:sz w:val="18"/>
          <w:szCs w:val="18"/>
        </w:rPr>
      </w:pPr>
      <w:bookmarkStart w:id="0" w:name="_GoBack"/>
      <w:r w:rsidRPr="001E3879">
        <w:rPr>
          <w:rFonts w:ascii="方正小标宋简体" w:eastAsia="方正小标宋简体" w:hAnsi="等线" w:hint="eastAsia"/>
          <w:color w:val="000000" w:themeColor="text1"/>
          <w:szCs w:val="32"/>
        </w:rPr>
        <w:t>监察执法五处2023年第</w:t>
      </w:r>
      <w:r w:rsidRPr="001E3879">
        <w:rPr>
          <w:rFonts w:ascii="方正小标宋简体" w:eastAsia="方正小标宋简体" w:hAnsi="等线"/>
          <w:color w:val="000000" w:themeColor="text1"/>
          <w:szCs w:val="32"/>
        </w:rPr>
        <w:t>1</w:t>
      </w:r>
      <w:r>
        <w:rPr>
          <w:rFonts w:ascii="方正小标宋简体" w:eastAsia="方正小标宋简体" w:hAnsi="等线"/>
          <w:color w:val="000000" w:themeColor="text1"/>
          <w:szCs w:val="32"/>
        </w:rPr>
        <w:t>9</w:t>
      </w:r>
      <w:r w:rsidRPr="001E3879">
        <w:rPr>
          <w:rFonts w:ascii="方正小标宋简体" w:eastAsia="方正小标宋简体" w:hAnsi="等线" w:hint="eastAsia"/>
          <w:color w:val="000000" w:themeColor="text1"/>
          <w:szCs w:val="32"/>
        </w:rPr>
        <w:t>批行政处罚信息公开表</w:t>
      </w:r>
    </w:p>
    <w:tbl>
      <w:tblPr>
        <w:tblpPr w:leftFromText="180" w:rightFromText="180" w:vertAnchor="page" w:horzAnchor="margin" w:tblpXSpec="center" w:tblpY="2890"/>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113"/>
        <w:gridCol w:w="1276"/>
        <w:gridCol w:w="1276"/>
        <w:gridCol w:w="7654"/>
        <w:gridCol w:w="1418"/>
        <w:gridCol w:w="1435"/>
      </w:tblGrid>
      <w:tr w:rsidR="00C103A2" w:rsidRPr="001E3879" w:rsidTr="0091037D">
        <w:trPr>
          <w:jc w:val="center"/>
        </w:trPr>
        <w:tc>
          <w:tcPr>
            <w:tcW w:w="696" w:type="dxa"/>
            <w:vAlign w:val="center"/>
          </w:tcPr>
          <w:bookmarkEnd w:id="0"/>
          <w:p w:rsidR="00C103A2" w:rsidRPr="001E3879" w:rsidRDefault="00C103A2" w:rsidP="0091037D">
            <w:pPr>
              <w:spacing w:line="560" w:lineRule="exact"/>
              <w:jc w:val="center"/>
              <w:rPr>
                <w:rFonts w:ascii="仿宋_GB2312" w:hAnsi="仿宋"/>
                <w:color w:val="000000" w:themeColor="text1"/>
                <w:szCs w:val="32"/>
              </w:rPr>
            </w:pPr>
            <w:r w:rsidRPr="001E3879">
              <w:rPr>
                <w:rFonts w:ascii="黑体" w:eastAsia="黑体" w:hAnsi="宋体" w:cs="宋体" w:hint="eastAsia"/>
                <w:color w:val="000000" w:themeColor="text1"/>
                <w:kern w:val="0"/>
                <w:sz w:val="24"/>
              </w:rPr>
              <w:t>序号</w:t>
            </w:r>
          </w:p>
        </w:tc>
        <w:tc>
          <w:tcPr>
            <w:tcW w:w="1113" w:type="dxa"/>
            <w:vAlign w:val="center"/>
          </w:tcPr>
          <w:p w:rsidR="00C103A2" w:rsidRPr="001E3879" w:rsidRDefault="00C103A2" w:rsidP="0091037D">
            <w:pPr>
              <w:spacing w:line="560" w:lineRule="exact"/>
              <w:ind w:firstLineChars="50" w:firstLine="118"/>
              <w:jc w:val="center"/>
              <w:rPr>
                <w:rFonts w:ascii="仿宋_GB2312" w:hAnsi="仿宋"/>
                <w:color w:val="000000" w:themeColor="text1"/>
                <w:szCs w:val="32"/>
              </w:rPr>
            </w:pPr>
            <w:r w:rsidRPr="001E3879">
              <w:rPr>
                <w:rFonts w:ascii="黑体" w:eastAsia="黑体" w:hAnsi="宋体" w:cs="宋体" w:hint="eastAsia"/>
                <w:color w:val="000000" w:themeColor="text1"/>
                <w:kern w:val="0"/>
                <w:sz w:val="24"/>
              </w:rPr>
              <w:t>执法决定日期</w:t>
            </w:r>
          </w:p>
        </w:tc>
        <w:tc>
          <w:tcPr>
            <w:tcW w:w="1276" w:type="dxa"/>
            <w:vAlign w:val="center"/>
          </w:tcPr>
          <w:p w:rsidR="00C103A2" w:rsidRPr="001E3879" w:rsidRDefault="00C103A2" w:rsidP="0091037D">
            <w:pPr>
              <w:spacing w:line="560" w:lineRule="exact"/>
              <w:jc w:val="center"/>
              <w:rPr>
                <w:rFonts w:ascii="仿宋_GB2312" w:hAnsi="仿宋"/>
                <w:color w:val="000000" w:themeColor="text1"/>
                <w:szCs w:val="32"/>
              </w:rPr>
            </w:pPr>
            <w:r w:rsidRPr="001E3879">
              <w:rPr>
                <w:rFonts w:ascii="黑体" w:eastAsia="黑体" w:hAnsi="宋体" w:cs="宋体" w:hint="eastAsia"/>
                <w:color w:val="000000" w:themeColor="text1"/>
                <w:kern w:val="0"/>
                <w:sz w:val="24"/>
              </w:rPr>
              <w:t>执法主体</w:t>
            </w:r>
          </w:p>
        </w:tc>
        <w:tc>
          <w:tcPr>
            <w:tcW w:w="1276" w:type="dxa"/>
            <w:vAlign w:val="center"/>
          </w:tcPr>
          <w:p w:rsidR="00C103A2" w:rsidRPr="001E3879" w:rsidRDefault="00C103A2" w:rsidP="0091037D">
            <w:pPr>
              <w:spacing w:line="560" w:lineRule="exact"/>
              <w:jc w:val="center"/>
              <w:rPr>
                <w:rFonts w:ascii="仿宋_GB2312" w:hAnsi="仿宋"/>
                <w:color w:val="000000" w:themeColor="text1"/>
                <w:szCs w:val="32"/>
              </w:rPr>
            </w:pPr>
            <w:r w:rsidRPr="001E3879">
              <w:rPr>
                <w:rFonts w:ascii="黑体" w:eastAsia="黑体" w:hAnsi="宋体" w:cs="宋体" w:hint="eastAsia"/>
                <w:color w:val="000000" w:themeColor="text1"/>
                <w:kern w:val="0"/>
                <w:sz w:val="24"/>
              </w:rPr>
              <w:t>执法对象</w:t>
            </w:r>
          </w:p>
        </w:tc>
        <w:tc>
          <w:tcPr>
            <w:tcW w:w="7654" w:type="dxa"/>
            <w:vAlign w:val="center"/>
          </w:tcPr>
          <w:p w:rsidR="00C103A2" w:rsidRPr="001E3879" w:rsidRDefault="00C103A2" w:rsidP="0091037D">
            <w:pPr>
              <w:spacing w:line="560" w:lineRule="exact"/>
              <w:jc w:val="center"/>
              <w:rPr>
                <w:rFonts w:ascii="仿宋_GB2312" w:hAnsi="仿宋"/>
                <w:color w:val="000000" w:themeColor="text1"/>
                <w:szCs w:val="32"/>
              </w:rPr>
            </w:pPr>
            <w:r w:rsidRPr="001E3879">
              <w:rPr>
                <w:rFonts w:ascii="黑体" w:eastAsia="黑体" w:hAnsi="宋体" w:cs="宋体" w:hint="eastAsia"/>
                <w:color w:val="000000" w:themeColor="text1"/>
                <w:kern w:val="0"/>
                <w:sz w:val="24"/>
              </w:rPr>
              <w:t>违法事实</w:t>
            </w:r>
          </w:p>
        </w:tc>
        <w:tc>
          <w:tcPr>
            <w:tcW w:w="1418" w:type="dxa"/>
            <w:vAlign w:val="center"/>
          </w:tcPr>
          <w:p w:rsidR="00C103A2" w:rsidRPr="001E3879" w:rsidRDefault="00C103A2" w:rsidP="0091037D">
            <w:pPr>
              <w:spacing w:line="560" w:lineRule="exact"/>
              <w:jc w:val="center"/>
              <w:rPr>
                <w:rFonts w:ascii="仿宋_GB2312" w:hAnsi="仿宋"/>
                <w:color w:val="000000" w:themeColor="text1"/>
                <w:szCs w:val="32"/>
              </w:rPr>
            </w:pPr>
            <w:r w:rsidRPr="001E3879">
              <w:rPr>
                <w:rFonts w:ascii="黑体" w:eastAsia="黑体" w:hAnsi="宋体" w:cs="宋体" w:hint="eastAsia"/>
                <w:color w:val="000000" w:themeColor="text1"/>
                <w:kern w:val="0"/>
                <w:sz w:val="24"/>
              </w:rPr>
              <w:t>处罚依据</w:t>
            </w:r>
          </w:p>
        </w:tc>
        <w:tc>
          <w:tcPr>
            <w:tcW w:w="1435" w:type="dxa"/>
            <w:vAlign w:val="center"/>
          </w:tcPr>
          <w:p w:rsidR="00C103A2" w:rsidRPr="001E3879" w:rsidRDefault="00C103A2" w:rsidP="0091037D">
            <w:pPr>
              <w:spacing w:line="560" w:lineRule="exact"/>
              <w:jc w:val="center"/>
              <w:rPr>
                <w:rFonts w:ascii="仿宋_GB2312" w:hAnsi="仿宋"/>
                <w:color w:val="000000" w:themeColor="text1"/>
                <w:szCs w:val="32"/>
              </w:rPr>
            </w:pPr>
            <w:r w:rsidRPr="001E3879">
              <w:rPr>
                <w:rFonts w:ascii="黑体" w:eastAsia="黑体" w:hAnsi="宋体" w:cs="宋体" w:hint="eastAsia"/>
                <w:color w:val="000000" w:themeColor="text1"/>
                <w:kern w:val="0"/>
                <w:sz w:val="24"/>
              </w:rPr>
              <w:t>处罚内容</w:t>
            </w:r>
          </w:p>
        </w:tc>
      </w:tr>
      <w:tr w:rsidR="00C103A2" w:rsidRPr="001E3879" w:rsidTr="0091037D">
        <w:trPr>
          <w:trHeight w:val="841"/>
          <w:jc w:val="center"/>
        </w:trPr>
        <w:tc>
          <w:tcPr>
            <w:tcW w:w="696" w:type="dxa"/>
            <w:vAlign w:val="center"/>
          </w:tcPr>
          <w:p w:rsidR="00C103A2" w:rsidRPr="00281069" w:rsidRDefault="00C103A2" w:rsidP="0091037D">
            <w:pPr>
              <w:spacing w:line="460" w:lineRule="exact"/>
              <w:jc w:val="center"/>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1</w:t>
            </w:r>
          </w:p>
        </w:tc>
        <w:tc>
          <w:tcPr>
            <w:tcW w:w="1113"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2023年</w:t>
            </w:r>
            <w:r w:rsidRPr="00281069">
              <w:rPr>
                <w:rFonts w:ascii="仿宋" w:eastAsia="仿宋" w:hAnsi="仿宋"/>
                <w:color w:val="000000" w:themeColor="text1"/>
                <w:sz w:val="24"/>
                <w:szCs w:val="24"/>
              </w:rPr>
              <w:t>4</w:t>
            </w:r>
            <w:r w:rsidRPr="00281069">
              <w:rPr>
                <w:rFonts w:ascii="仿宋" w:eastAsia="仿宋" w:hAnsi="仿宋" w:hint="eastAsia"/>
                <w:color w:val="000000" w:themeColor="text1"/>
                <w:sz w:val="24"/>
                <w:szCs w:val="24"/>
              </w:rPr>
              <w:t>月</w:t>
            </w:r>
            <w:r w:rsidRPr="00281069">
              <w:rPr>
                <w:rFonts w:ascii="仿宋" w:eastAsia="仿宋" w:hAnsi="仿宋"/>
                <w:color w:val="000000" w:themeColor="text1"/>
                <w:sz w:val="24"/>
                <w:szCs w:val="24"/>
              </w:rPr>
              <w:t>24</w:t>
            </w:r>
            <w:r w:rsidRPr="00281069">
              <w:rPr>
                <w:rFonts w:ascii="仿宋" w:eastAsia="仿宋" w:hAnsi="仿宋" w:hint="eastAsia"/>
                <w:color w:val="000000" w:themeColor="text1"/>
                <w:sz w:val="24"/>
                <w:szCs w:val="24"/>
              </w:rPr>
              <w:t>日</w:t>
            </w:r>
          </w:p>
        </w:tc>
        <w:tc>
          <w:tcPr>
            <w:tcW w:w="1276"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国家矿山安全监察局山东局</w:t>
            </w:r>
          </w:p>
        </w:tc>
        <w:tc>
          <w:tcPr>
            <w:tcW w:w="1276" w:type="dxa"/>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枣庄大兴矿业有限责任公司</w:t>
            </w:r>
          </w:p>
        </w:tc>
        <w:tc>
          <w:tcPr>
            <w:tcW w:w="7654" w:type="dxa"/>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1.现场检查时发现，2北303采煤工作面18</w:t>
            </w:r>
            <w:r w:rsidRPr="00281069">
              <w:rPr>
                <w:rFonts w:ascii="仿宋" w:eastAsia="仿宋" w:hAnsi="仿宋" w:hint="eastAsia"/>
                <w:color w:val="000000" w:themeColor="text1"/>
                <w:sz w:val="24"/>
                <w:szCs w:val="24"/>
                <w:vertAlign w:val="superscript"/>
              </w:rPr>
              <w:t>#</w:t>
            </w:r>
            <w:r w:rsidRPr="00281069">
              <w:rPr>
                <w:rFonts w:ascii="仿宋" w:eastAsia="仿宋" w:hAnsi="仿宋" w:hint="eastAsia"/>
                <w:color w:val="000000" w:themeColor="text1"/>
                <w:sz w:val="24"/>
                <w:szCs w:val="24"/>
              </w:rPr>
              <w:t>与19</w:t>
            </w:r>
            <w:r w:rsidRPr="00281069">
              <w:rPr>
                <w:rFonts w:ascii="仿宋" w:eastAsia="仿宋" w:hAnsi="仿宋" w:hint="eastAsia"/>
                <w:color w:val="000000" w:themeColor="text1"/>
                <w:sz w:val="24"/>
                <w:szCs w:val="24"/>
                <w:vertAlign w:val="superscript"/>
              </w:rPr>
              <w:t>#</w:t>
            </w:r>
            <w:r w:rsidRPr="00281069">
              <w:rPr>
                <w:rFonts w:ascii="仿宋" w:eastAsia="仿宋" w:hAnsi="仿宋" w:hint="eastAsia"/>
                <w:color w:val="000000" w:themeColor="text1"/>
                <w:sz w:val="24"/>
                <w:szCs w:val="24"/>
              </w:rPr>
              <w:t>、33</w:t>
            </w:r>
            <w:r w:rsidRPr="00281069">
              <w:rPr>
                <w:rFonts w:ascii="仿宋" w:eastAsia="仿宋" w:hAnsi="仿宋" w:hint="eastAsia"/>
                <w:color w:val="000000" w:themeColor="text1"/>
                <w:sz w:val="24"/>
                <w:szCs w:val="24"/>
                <w:vertAlign w:val="superscript"/>
              </w:rPr>
              <w:t>#</w:t>
            </w:r>
            <w:r w:rsidRPr="00281069">
              <w:rPr>
                <w:rFonts w:ascii="仿宋" w:eastAsia="仿宋" w:hAnsi="仿宋" w:hint="eastAsia"/>
                <w:color w:val="000000" w:themeColor="text1"/>
                <w:sz w:val="24"/>
                <w:szCs w:val="24"/>
              </w:rPr>
              <w:t>与34</w:t>
            </w:r>
            <w:r w:rsidRPr="00281069">
              <w:rPr>
                <w:rFonts w:ascii="仿宋" w:eastAsia="仿宋" w:hAnsi="仿宋" w:hint="eastAsia"/>
                <w:color w:val="000000" w:themeColor="text1"/>
                <w:sz w:val="24"/>
                <w:szCs w:val="24"/>
                <w:vertAlign w:val="superscript"/>
              </w:rPr>
              <w:t>#</w:t>
            </w:r>
            <w:r w:rsidRPr="00281069">
              <w:rPr>
                <w:rFonts w:ascii="仿宋" w:eastAsia="仿宋" w:hAnsi="仿宋" w:hint="eastAsia"/>
                <w:color w:val="000000" w:themeColor="text1"/>
                <w:sz w:val="24"/>
                <w:szCs w:val="24"/>
              </w:rPr>
              <w:t>、45</w:t>
            </w:r>
            <w:r w:rsidRPr="00281069">
              <w:rPr>
                <w:rFonts w:ascii="仿宋" w:eastAsia="仿宋" w:hAnsi="仿宋" w:hint="eastAsia"/>
                <w:color w:val="000000" w:themeColor="text1"/>
                <w:sz w:val="24"/>
                <w:szCs w:val="24"/>
                <w:vertAlign w:val="superscript"/>
              </w:rPr>
              <w:t>#</w:t>
            </w:r>
            <w:r w:rsidRPr="00281069">
              <w:rPr>
                <w:rFonts w:ascii="仿宋" w:eastAsia="仿宋" w:hAnsi="仿宋" w:hint="eastAsia"/>
                <w:color w:val="000000" w:themeColor="text1"/>
                <w:sz w:val="24"/>
                <w:szCs w:val="24"/>
              </w:rPr>
              <w:t>与46</w:t>
            </w:r>
            <w:r w:rsidRPr="00281069">
              <w:rPr>
                <w:rFonts w:ascii="仿宋" w:eastAsia="仿宋" w:hAnsi="仿宋" w:hint="eastAsia"/>
                <w:color w:val="000000" w:themeColor="text1"/>
                <w:sz w:val="24"/>
                <w:szCs w:val="24"/>
                <w:vertAlign w:val="superscript"/>
              </w:rPr>
              <w:t>#</w:t>
            </w:r>
            <w:r w:rsidRPr="00281069">
              <w:rPr>
                <w:rFonts w:ascii="仿宋" w:eastAsia="仿宋" w:hAnsi="仿宋" w:hint="eastAsia"/>
                <w:color w:val="000000" w:themeColor="text1"/>
                <w:sz w:val="24"/>
                <w:szCs w:val="24"/>
              </w:rPr>
              <w:t>、54</w:t>
            </w:r>
            <w:r w:rsidRPr="00281069">
              <w:rPr>
                <w:rFonts w:ascii="仿宋" w:eastAsia="仿宋" w:hAnsi="仿宋" w:hint="eastAsia"/>
                <w:color w:val="000000" w:themeColor="text1"/>
                <w:sz w:val="24"/>
                <w:szCs w:val="24"/>
                <w:vertAlign w:val="superscript"/>
              </w:rPr>
              <w:t>#</w:t>
            </w:r>
            <w:r w:rsidRPr="00281069">
              <w:rPr>
                <w:rFonts w:ascii="仿宋" w:eastAsia="仿宋" w:hAnsi="仿宋" w:hint="eastAsia"/>
                <w:color w:val="000000" w:themeColor="text1"/>
                <w:sz w:val="24"/>
                <w:szCs w:val="24"/>
              </w:rPr>
              <w:t>与55</w:t>
            </w:r>
            <w:r w:rsidRPr="00281069">
              <w:rPr>
                <w:rFonts w:ascii="仿宋" w:eastAsia="仿宋" w:hAnsi="仿宋" w:hint="eastAsia"/>
                <w:color w:val="000000" w:themeColor="text1"/>
                <w:sz w:val="24"/>
                <w:szCs w:val="24"/>
                <w:vertAlign w:val="superscript"/>
              </w:rPr>
              <w:t>#</w:t>
            </w:r>
            <w:r w:rsidRPr="00281069">
              <w:rPr>
                <w:rFonts w:ascii="仿宋" w:eastAsia="仿宋" w:hAnsi="仿宋" w:hint="eastAsia"/>
                <w:color w:val="000000" w:themeColor="text1"/>
                <w:sz w:val="24"/>
                <w:szCs w:val="24"/>
              </w:rPr>
              <w:t>、64</w:t>
            </w:r>
            <w:r w:rsidRPr="00281069">
              <w:rPr>
                <w:rFonts w:ascii="仿宋" w:eastAsia="仿宋" w:hAnsi="仿宋" w:hint="eastAsia"/>
                <w:color w:val="000000" w:themeColor="text1"/>
                <w:sz w:val="24"/>
                <w:szCs w:val="24"/>
                <w:vertAlign w:val="superscript"/>
              </w:rPr>
              <w:t>#</w:t>
            </w:r>
            <w:r w:rsidRPr="00281069">
              <w:rPr>
                <w:rFonts w:ascii="仿宋" w:eastAsia="仿宋" w:hAnsi="仿宋" w:hint="eastAsia"/>
                <w:color w:val="000000" w:themeColor="text1"/>
                <w:sz w:val="24"/>
                <w:szCs w:val="24"/>
              </w:rPr>
              <w:t>与65</w:t>
            </w:r>
            <w:r w:rsidRPr="00281069">
              <w:rPr>
                <w:rFonts w:ascii="仿宋" w:eastAsia="仿宋" w:hAnsi="仿宋" w:hint="eastAsia"/>
                <w:color w:val="000000" w:themeColor="text1"/>
                <w:sz w:val="24"/>
                <w:szCs w:val="24"/>
                <w:vertAlign w:val="superscript"/>
              </w:rPr>
              <w:t>#</w:t>
            </w:r>
            <w:r w:rsidRPr="00281069">
              <w:rPr>
                <w:rFonts w:ascii="仿宋" w:eastAsia="仿宋" w:hAnsi="仿宋" w:hint="eastAsia"/>
                <w:color w:val="000000" w:themeColor="text1"/>
                <w:sz w:val="24"/>
                <w:szCs w:val="24"/>
              </w:rPr>
              <w:t>液压支架之间错茬超过侧护板厚度的2/3；2023年3月20日早班，未按照规定对2北303采煤工作面运输巷超前支护段（超前支护段长80m）进行矿压观测，不符合《2北303采煤工作面作业规程》中“错茬不超过侧护板厚度的2/3” 和“每班进行矿压观测”的规定；2.北翼采区三号联络巷与北翼采区轨道下山（煤巷、锚网索支护）三岔门处、22轨道与22集轨（煤巷、锚喷支护）三岔门处未安设顶板离层监测仪，不符合《大兴矿业有限公司顶板管理规定》中“三岔门等特殊地点必须安装顶板离层仪”的规定。</w:t>
            </w:r>
          </w:p>
        </w:tc>
        <w:tc>
          <w:tcPr>
            <w:tcW w:w="1418"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cs="Times New Roman"/>
                <w:bCs/>
                <w:color w:val="000000" w:themeColor="text1"/>
                <w:sz w:val="24"/>
                <w:szCs w:val="24"/>
              </w:rPr>
              <w:t>《山东省安全生产条例》第七十六条第一款</w:t>
            </w:r>
          </w:p>
        </w:tc>
        <w:tc>
          <w:tcPr>
            <w:tcW w:w="1435"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合处陆万元整的罚款。</w:t>
            </w:r>
          </w:p>
        </w:tc>
      </w:tr>
      <w:tr w:rsidR="00C103A2" w:rsidRPr="001E3879" w:rsidTr="0091037D">
        <w:trPr>
          <w:trHeight w:val="2643"/>
          <w:jc w:val="center"/>
        </w:trPr>
        <w:tc>
          <w:tcPr>
            <w:tcW w:w="696" w:type="dxa"/>
            <w:vAlign w:val="center"/>
          </w:tcPr>
          <w:p w:rsidR="00C103A2" w:rsidRPr="00281069" w:rsidRDefault="00C103A2" w:rsidP="0091037D">
            <w:pPr>
              <w:spacing w:line="460" w:lineRule="exact"/>
              <w:jc w:val="center"/>
              <w:rPr>
                <w:rFonts w:ascii="仿宋" w:eastAsia="仿宋" w:hAnsi="仿宋"/>
                <w:color w:val="000000" w:themeColor="text1"/>
                <w:sz w:val="24"/>
                <w:szCs w:val="24"/>
              </w:rPr>
            </w:pPr>
            <w:r w:rsidRPr="00281069">
              <w:rPr>
                <w:rFonts w:ascii="仿宋" w:eastAsia="仿宋" w:hAnsi="仿宋" w:hint="eastAsia"/>
                <w:color w:val="000000" w:themeColor="text1"/>
                <w:sz w:val="24"/>
                <w:szCs w:val="24"/>
              </w:rPr>
              <w:lastRenderedPageBreak/>
              <w:t>2</w:t>
            </w:r>
          </w:p>
        </w:tc>
        <w:tc>
          <w:tcPr>
            <w:tcW w:w="1113"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2023年</w:t>
            </w:r>
            <w:r w:rsidRPr="00281069">
              <w:rPr>
                <w:rFonts w:ascii="仿宋" w:eastAsia="仿宋" w:hAnsi="仿宋"/>
                <w:color w:val="000000" w:themeColor="text1"/>
                <w:sz w:val="24"/>
                <w:szCs w:val="24"/>
              </w:rPr>
              <w:t>4</w:t>
            </w:r>
            <w:r w:rsidRPr="00281069">
              <w:rPr>
                <w:rFonts w:ascii="仿宋" w:eastAsia="仿宋" w:hAnsi="仿宋" w:hint="eastAsia"/>
                <w:color w:val="000000" w:themeColor="text1"/>
                <w:sz w:val="24"/>
                <w:szCs w:val="24"/>
              </w:rPr>
              <w:t>月</w:t>
            </w:r>
            <w:r w:rsidRPr="00281069">
              <w:rPr>
                <w:rFonts w:ascii="仿宋" w:eastAsia="仿宋" w:hAnsi="仿宋"/>
                <w:color w:val="000000" w:themeColor="text1"/>
                <w:sz w:val="24"/>
                <w:szCs w:val="24"/>
              </w:rPr>
              <w:t>24</w:t>
            </w:r>
            <w:r w:rsidRPr="00281069">
              <w:rPr>
                <w:rFonts w:ascii="仿宋" w:eastAsia="仿宋" w:hAnsi="仿宋" w:hint="eastAsia"/>
                <w:color w:val="000000" w:themeColor="text1"/>
                <w:sz w:val="24"/>
                <w:szCs w:val="24"/>
              </w:rPr>
              <w:t>日</w:t>
            </w:r>
          </w:p>
        </w:tc>
        <w:tc>
          <w:tcPr>
            <w:tcW w:w="1276"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国家矿山安全监察局山东局</w:t>
            </w:r>
          </w:p>
        </w:tc>
        <w:tc>
          <w:tcPr>
            <w:tcW w:w="1276" w:type="dxa"/>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枣庄大兴矿业有限责任公司</w:t>
            </w:r>
          </w:p>
        </w:tc>
        <w:tc>
          <w:tcPr>
            <w:tcW w:w="7654" w:type="dxa"/>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3.矿井所采煤层具有自然发火倾向性，2023年3月21、22、23、25、26日，2北303采煤工作面分别生产4刀（正规循环）、3刀、2刀、2刀、3刀，3月21日至26日煤矿按照每天向采空区洒注黄泥浆一次采取防灭火措施，不符合大兴矿业有限公司《矿井防灭火设计》中“回采期间每割一刀后洒注黄泥浆一次”的规定。</w:t>
            </w:r>
          </w:p>
        </w:tc>
        <w:tc>
          <w:tcPr>
            <w:tcW w:w="1418"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cs="Times New Roman"/>
                <w:bCs/>
                <w:color w:val="000000" w:themeColor="text1"/>
                <w:sz w:val="24"/>
                <w:szCs w:val="24"/>
              </w:rPr>
              <w:t>《中华人民共和国矿山安全法实施条例》第五十四条</w:t>
            </w:r>
          </w:p>
        </w:tc>
        <w:tc>
          <w:tcPr>
            <w:tcW w:w="1435"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处壹万元整的罚款。</w:t>
            </w:r>
          </w:p>
        </w:tc>
      </w:tr>
      <w:tr w:rsidR="00C103A2" w:rsidRPr="001E3879" w:rsidTr="0091037D">
        <w:trPr>
          <w:trHeight w:val="2643"/>
          <w:jc w:val="center"/>
        </w:trPr>
        <w:tc>
          <w:tcPr>
            <w:tcW w:w="696" w:type="dxa"/>
            <w:vAlign w:val="center"/>
          </w:tcPr>
          <w:p w:rsidR="00C103A2" w:rsidRPr="00281069" w:rsidRDefault="00C103A2" w:rsidP="0091037D">
            <w:pPr>
              <w:spacing w:line="460" w:lineRule="exact"/>
              <w:jc w:val="center"/>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3</w:t>
            </w:r>
          </w:p>
        </w:tc>
        <w:tc>
          <w:tcPr>
            <w:tcW w:w="1113"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2023年</w:t>
            </w:r>
            <w:r w:rsidRPr="00281069">
              <w:rPr>
                <w:rFonts w:ascii="仿宋" w:eastAsia="仿宋" w:hAnsi="仿宋"/>
                <w:color w:val="000000" w:themeColor="text1"/>
                <w:sz w:val="24"/>
                <w:szCs w:val="24"/>
              </w:rPr>
              <w:t>4</w:t>
            </w:r>
            <w:r w:rsidRPr="00281069">
              <w:rPr>
                <w:rFonts w:ascii="仿宋" w:eastAsia="仿宋" w:hAnsi="仿宋" w:hint="eastAsia"/>
                <w:color w:val="000000" w:themeColor="text1"/>
                <w:sz w:val="24"/>
                <w:szCs w:val="24"/>
              </w:rPr>
              <w:t>月</w:t>
            </w:r>
            <w:r w:rsidRPr="00281069">
              <w:rPr>
                <w:rFonts w:ascii="仿宋" w:eastAsia="仿宋" w:hAnsi="仿宋"/>
                <w:color w:val="000000" w:themeColor="text1"/>
                <w:sz w:val="24"/>
                <w:szCs w:val="24"/>
              </w:rPr>
              <w:t>24</w:t>
            </w:r>
            <w:r w:rsidRPr="00281069">
              <w:rPr>
                <w:rFonts w:ascii="仿宋" w:eastAsia="仿宋" w:hAnsi="仿宋" w:hint="eastAsia"/>
                <w:color w:val="000000" w:themeColor="text1"/>
                <w:sz w:val="24"/>
                <w:szCs w:val="24"/>
              </w:rPr>
              <w:t>日</w:t>
            </w:r>
          </w:p>
        </w:tc>
        <w:tc>
          <w:tcPr>
            <w:tcW w:w="1276"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国家矿山安全监察局山东局</w:t>
            </w:r>
          </w:p>
        </w:tc>
        <w:tc>
          <w:tcPr>
            <w:tcW w:w="1276" w:type="dxa"/>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枣庄大兴矿业有限责任公司</w:t>
            </w:r>
          </w:p>
        </w:tc>
        <w:tc>
          <w:tcPr>
            <w:tcW w:w="7654" w:type="dxa"/>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4.矿井所采煤层煤尘具有爆炸危险性，辅助水平专回联络巷上部巷道底板有长约10m、厚约2mm积尘，未及时冲洗、清扫，不符合《煤矿安全规程》第一百八十六条第二款的规定。</w:t>
            </w:r>
          </w:p>
        </w:tc>
        <w:tc>
          <w:tcPr>
            <w:tcW w:w="1418"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cs="Times New Roman"/>
                <w:bCs/>
                <w:color w:val="000000" w:themeColor="text1"/>
                <w:sz w:val="24"/>
                <w:szCs w:val="24"/>
              </w:rPr>
              <w:t>《</w:t>
            </w:r>
            <w:r w:rsidRPr="00281069">
              <w:rPr>
                <w:rFonts w:ascii="仿宋" w:eastAsia="仿宋" w:hAnsi="仿宋" w:cs="Times New Roman"/>
                <w:color w:val="000000" w:themeColor="text1"/>
                <w:kern w:val="0"/>
                <w:sz w:val="24"/>
                <w:szCs w:val="24"/>
              </w:rPr>
              <w:t>中华人民共和国矿山安全法实施条例》第五十四条</w:t>
            </w:r>
          </w:p>
        </w:tc>
        <w:tc>
          <w:tcPr>
            <w:tcW w:w="1435"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处壹万元整的罚款。</w:t>
            </w:r>
          </w:p>
        </w:tc>
      </w:tr>
      <w:tr w:rsidR="00C103A2" w:rsidRPr="001E3879" w:rsidTr="0091037D">
        <w:trPr>
          <w:trHeight w:val="1979"/>
          <w:jc w:val="center"/>
        </w:trPr>
        <w:tc>
          <w:tcPr>
            <w:tcW w:w="696" w:type="dxa"/>
            <w:vAlign w:val="center"/>
          </w:tcPr>
          <w:p w:rsidR="00C103A2" w:rsidRPr="00281069" w:rsidRDefault="00C103A2" w:rsidP="0091037D">
            <w:pPr>
              <w:spacing w:line="460" w:lineRule="exact"/>
              <w:jc w:val="center"/>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4</w:t>
            </w:r>
          </w:p>
        </w:tc>
        <w:tc>
          <w:tcPr>
            <w:tcW w:w="1113"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2023年</w:t>
            </w:r>
            <w:r w:rsidRPr="00281069">
              <w:rPr>
                <w:rFonts w:ascii="仿宋" w:eastAsia="仿宋" w:hAnsi="仿宋"/>
                <w:color w:val="000000" w:themeColor="text1"/>
                <w:sz w:val="24"/>
                <w:szCs w:val="24"/>
              </w:rPr>
              <w:t>4</w:t>
            </w:r>
            <w:r w:rsidRPr="00281069">
              <w:rPr>
                <w:rFonts w:ascii="仿宋" w:eastAsia="仿宋" w:hAnsi="仿宋" w:hint="eastAsia"/>
                <w:color w:val="000000" w:themeColor="text1"/>
                <w:sz w:val="24"/>
                <w:szCs w:val="24"/>
              </w:rPr>
              <w:t>月</w:t>
            </w:r>
            <w:r w:rsidRPr="00281069">
              <w:rPr>
                <w:rFonts w:ascii="仿宋" w:eastAsia="仿宋" w:hAnsi="仿宋"/>
                <w:color w:val="000000" w:themeColor="text1"/>
                <w:sz w:val="24"/>
                <w:szCs w:val="24"/>
              </w:rPr>
              <w:t>24</w:t>
            </w:r>
            <w:r w:rsidRPr="00281069">
              <w:rPr>
                <w:rFonts w:ascii="仿宋" w:eastAsia="仿宋" w:hAnsi="仿宋" w:hint="eastAsia"/>
                <w:color w:val="000000" w:themeColor="text1"/>
                <w:sz w:val="24"/>
                <w:szCs w:val="24"/>
              </w:rPr>
              <w:t>日</w:t>
            </w:r>
          </w:p>
        </w:tc>
        <w:tc>
          <w:tcPr>
            <w:tcW w:w="1276"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国家矿山安全监察局山东局</w:t>
            </w:r>
          </w:p>
        </w:tc>
        <w:tc>
          <w:tcPr>
            <w:tcW w:w="1276" w:type="dxa"/>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枣庄大兴矿业有限责任公司</w:t>
            </w:r>
          </w:p>
        </w:tc>
        <w:tc>
          <w:tcPr>
            <w:tcW w:w="7654" w:type="dxa"/>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5.2023年4月7日早班现场检查时发现，瓦斯检查工代印传未将4月6日早班对-613水仓栅栏、辅助水平电瓶车充电点两处地点的瓦斯检查数据记入现场检查牌板上（实际已检查），不符合《煤矿安全规程》第一百八十条第一款第五项的规定。</w:t>
            </w:r>
          </w:p>
        </w:tc>
        <w:tc>
          <w:tcPr>
            <w:tcW w:w="1418"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cs="Times New Roman"/>
                <w:color w:val="000000" w:themeColor="text1"/>
                <w:sz w:val="24"/>
                <w:szCs w:val="24"/>
              </w:rPr>
              <w:t>《中华人民共和国矿山安全法实施条例》第五十四条</w:t>
            </w:r>
          </w:p>
        </w:tc>
        <w:tc>
          <w:tcPr>
            <w:tcW w:w="1435"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处壹万元整的罚款。</w:t>
            </w:r>
          </w:p>
        </w:tc>
      </w:tr>
      <w:tr w:rsidR="00C103A2" w:rsidRPr="001E3879" w:rsidTr="0091037D">
        <w:trPr>
          <w:trHeight w:val="1979"/>
          <w:jc w:val="center"/>
        </w:trPr>
        <w:tc>
          <w:tcPr>
            <w:tcW w:w="696" w:type="dxa"/>
            <w:vAlign w:val="center"/>
          </w:tcPr>
          <w:p w:rsidR="00C103A2" w:rsidRPr="00281069" w:rsidRDefault="00C103A2" w:rsidP="0091037D">
            <w:pPr>
              <w:spacing w:line="460" w:lineRule="exact"/>
              <w:jc w:val="center"/>
              <w:rPr>
                <w:rFonts w:ascii="仿宋" w:eastAsia="仿宋" w:hAnsi="仿宋"/>
                <w:color w:val="000000" w:themeColor="text1"/>
                <w:sz w:val="24"/>
                <w:szCs w:val="24"/>
              </w:rPr>
            </w:pPr>
            <w:r w:rsidRPr="00281069">
              <w:rPr>
                <w:rFonts w:ascii="仿宋" w:eastAsia="仿宋" w:hAnsi="仿宋"/>
                <w:color w:val="000000" w:themeColor="text1"/>
                <w:sz w:val="24"/>
                <w:szCs w:val="24"/>
              </w:rPr>
              <w:lastRenderedPageBreak/>
              <w:t>5</w:t>
            </w:r>
          </w:p>
        </w:tc>
        <w:tc>
          <w:tcPr>
            <w:tcW w:w="1113"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2023年</w:t>
            </w:r>
            <w:r w:rsidRPr="00281069">
              <w:rPr>
                <w:rFonts w:ascii="仿宋" w:eastAsia="仿宋" w:hAnsi="仿宋"/>
                <w:color w:val="000000" w:themeColor="text1"/>
                <w:sz w:val="24"/>
                <w:szCs w:val="24"/>
              </w:rPr>
              <w:t>4</w:t>
            </w:r>
            <w:r w:rsidRPr="00281069">
              <w:rPr>
                <w:rFonts w:ascii="仿宋" w:eastAsia="仿宋" w:hAnsi="仿宋" w:hint="eastAsia"/>
                <w:color w:val="000000" w:themeColor="text1"/>
                <w:sz w:val="24"/>
                <w:szCs w:val="24"/>
              </w:rPr>
              <w:t>月</w:t>
            </w:r>
            <w:r w:rsidRPr="00281069">
              <w:rPr>
                <w:rFonts w:ascii="仿宋" w:eastAsia="仿宋" w:hAnsi="仿宋"/>
                <w:color w:val="000000" w:themeColor="text1"/>
                <w:sz w:val="24"/>
                <w:szCs w:val="24"/>
              </w:rPr>
              <w:t>24</w:t>
            </w:r>
            <w:r w:rsidRPr="00281069">
              <w:rPr>
                <w:rFonts w:ascii="仿宋" w:eastAsia="仿宋" w:hAnsi="仿宋" w:hint="eastAsia"/>
                <w:color w:val="000000" w:themeColor="text1"/>
                <w:sz w:val="24"/>
                <w:szCs w:val="24"/>
              </w:rPr>
              <w:t>日</w:t>
            </w:r>
          </w:p>
        </w:tc>
        <w:tc>
          <w:tcPr>
            <w:tcW w:w="1276"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国家矿山安全监察局山东局</w:t>
            </w:r>
          </w:p>
        </w:tc>
        <w:tc>
          <w:tcPr>
            <w:tcW w:w="1276" w:type="dxa"/>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枣庄大兴矿业有限责任公司</w:t>
            </w:r>
          </w:p>
        </w:tc>
        <w:tc>
          <w:tcPr>
            <w:tcW w:w="7654" w:type="dxa"/>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6.22轨道与22集轨巷巷道分支处未安设人员位置监测分站，不能满足监测携卡人员出（入）方向的要求，不符合《煤矿井下作业人员管理系统使用与管理规范》（AQ1048-2007）5.1.2的规定；7.2北306材料巷掘进工作面安全监控分站电源接自被控电源负荷侧，不符合《煤矿安全监控系统及检测仪器使用管理规范》（AQ1029-2019）5.5的规定。</w:t>
            </w:r>
          </w:p>
        </w:tc>
        <w:tc>
          <w:tcPr>
            <w:tcW w:w="1418"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cs="仿宋" w:hint="eastAsia"/>
                <w:bCs/>
                <w:color w:val="000000" w:themeColor="text1"/>
                <w:sz w:val="24"/>
                <w:szCs w:val="24"/>
              </w:rPr>
              <w:t>《中华人民共和国安全生产法》第九十九条第二项</w:t>
            </w:r>
          </w:p>
        </w:tc>
        <w:tc>
          <w:tcPr>
            <w:tcW w:w="1435"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合处贰万元整的罚款。</w:t>
            </w:r>
          </w:p>
        </w:tc>
      </w:tr>
      <w:tr w:rsidR="00C103A2" w:rsidRPr="001E3879" w:rsidTr="0091037D">
        <w:trPr>
          <w:trHeight w:val="1979"/>
          <w:jc w:val="center"/>
        </w:trPr>
        <w:tc>
          <w:tcPr>
            <w:tcW w:w="696" w:type="dxa"/>
            <w:vAlign w:val="center"/>
          </w:tcPr>
          <w:p w:rsidR="00C103A2" w:rsidRPr="00281069" w:rsidRDefault="00C103A2" w:rsidP="0091037D">
            <w:pPr>
              <w:spacing w:line="460" w:lineRule="exact"/>
              <w:jc w:val="center"/>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6</w:t>
            </w:r>
          </w:p>
        </w:tc>
        <w:tc>
          <w:tcPr>
            <w:tcW w:w="1113"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2023年</w:t>
            </w:r>
            <w:r w:rsidRPr="00281069">
              <w:rPr>
                <w:rFonts w:ascii="仿宋" w:eastAsia="仿宋" w:hAnsi="仿宋"/>
                <w:color w:val="000000" w:themeColor="text1"/>
                <w:sz w:val="24"/>
                <w:szCs w:val="24"/>
              </w:rPr>
              <w:t>4</w:t>
            </w:r>
            <w:r w:rsidRPr="00281069">
              <w:rPr>
                <w:rFonts w:ascii="仿宋" w:eastAsia="仿宋" w:hAnsi="仿宋" w:hint="eastAsia"/>
                <w:color w:val="000000" w:themeColor="text1"/>
                <w:sz w:val="24"/>
                <w:szCs w:val="24"/>
              </w:rPr>
              <w:t>月</w:t>
            </w:r>
            <w:r w:rsidRPr="00281069">
              <w:rPr>
                <w:rFonts w:ascii="仿宋" w:eastAsia="仿宋" w:hAnsi="仿宋"/>
                <w:color w:val="000000" w:themeColor="text1"/>
                <w:sz w:val="24"/>
                <w:szCs w:val="24"/>
              </w:rPr>
              <w:t>24</w:t>
            </w:r>
            <w:r w:rsidRPr="00281069">
              <w:rPr>
                <w:rFonts w:ascii="仿宋" w:eastAsia="仿宋" w:hAnsi="仿宋" w:hint="eastAsia"/>
                <w:color w:val="000000" w:themeColor="text1"/>
                <w:sz w:val="24"/>
                <w:szCs w:val="24"/>
              </w:rPr>
              <w:t>日</w:t>
            </w:r>
          </w:p>
        </w:tc>
        <w:tc>
          <w:tcPr>
            <w:tcW w:w="1276"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国家矿山安全监察局山东局</w:t>
            </w:r>
          </w:p>
        </w:tc>
        <w:tc>
          <w:tcPr>
            <w:tcW w:w="1276" w:type="dxa"/>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枣庄大兴矿业有限责任公司</w:t>
            </w:r>
          </w:p>
        </w:tc>
        <w:tc>
          <w:tcPr>
            <w:tcW w:w="7654" w:type="dxa"/>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color w:val="000000" w:themeColor="text1"/>
                <w:sz w:val="24"/>
                <w:szCs w:val="24"/>
              </w:rPr>
              <w:t>8</w:t>
            </w:r>
            <w:r w:rsidRPr="00281069">
              <w:rPr>
                <w:rFonts w:ascii="仿宋" w:eastAsia="仿宋" w:hAnsi="仿宋" w:hint="eastAsia"/>
                <w:color w:val="000000" w:themeColor="text1"/>
                <w:sz w:val="24"/>
                <w:szCs w:val="24"/>
              </w:rPr>
              <w:t>.矿井应力在线监测系统出现故障，系统设置应力数据采集、上传时间周期为120s，实际为132-133s，不符合《冲击地压测定、监测与防治方法 第7部分：采动应力监测方法》（GB/T 25217.7-2019）4.1.5的规定；9.北翼采区专回上口三岔门处安设的顶板离层监测仪深孔连接刻度尺钢丝绳锈蚀断开，不能监测深孔顶板离层数据，未及时维护，不符合《煤矿安全规程》第四条第五款的规定；10.矿井-613m永久避险硐室存放的一台编号为1</w:t>
            </w:r>
            <w:r w:rsidRPr="00281069">
              <w:rPr>
                <w:rFonts w:ascii="仿宋" w:eastAsia="仿宋" w:hAnsi="仿宋" w:hint="eastAsia"/>
                <w:color w:val="000000" w:themeColor="text1"/>
                <w:sz w:val="24"/>
                <w:szCs w:val="24"/>
                <w:vertAlign w:val="superscript"/>
              </w:rPr>
              <w:t>#</w:t>
            </w:r>
            <w:r w:rsidRPr="00281069">
              <w:rPr>
                <w:rFonts w:ascii="仿宋" w:eastAsia="仿宋" w:hAnsi="仿宋" w:hint="eastAsia"/>
                <w:color w:val="000000" w:themeColor="text1"/>
                <w:sz w:val="24"/>
                <w:szCs w:val="24"/>
              </w:rPr>
              <w:t>的隔绝式正压氧气呼吸器呼气导管破损，气密性达不到要求，不符合《隔绝式正压氧气呼吸器》（MT867-2000）5.10.10.1的规定；11.2北303运输巷滚筒驱动带式输送机6号沿线急停开关现场试验时不动作，未及时维护，不符合《煤矿在用带式输送机安全检测检验规范》（DB37/T 4193-2020）5.2.11.2（大兴矿业有限公司执行该标准）的规定；12.现场检查时，矿井兼职救护队配备的灾区电话不能正常使用，矿井未及时维护保证正常使用，不符合《中华人民共和国安全生产法》第三十六条第二款的规定。</w:t>
            </w:r>
          </w:p>
        </w:tc>
        <w:tc>
          <w:tcPr>
            <w:tcW w:w="1418"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cs="仿宋" w:hint="eastAsia"/>
                <w:bCs/>
                <w:color w:val="000000" w:themeColor="text1"/>
                <w:sz w:val="24"/>
                <w:szCs w:val="24"/>
              </w:rPr>
              <w:t>《中华人民共和国安全生产法》第九十九条第三项</w:t>
            </w:r>
          </w:p>
        </w:tc>
        <w:tc>
          <w:tcPr>
            <w:tcW w:w="1435"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合处伍万元的罚款</w:t>
            </w:r>
          </w:p>
        </w:tc>
      </w:tr>
      <w:tr w:rsidR="00C103A2" w:rsidRPr="001E3879" w:rsidTr="0091037D">
        <w:trPr>
          <w:trHeight w:val="2643"/>
          <w:jc w:val="center"/>
        </w:trPr>
        <w:tc>
          <w:tcPr>
            <w:tcW w:w="696" w:type="dxa"/>
            <w:vAlign w:val="center"/>
          </w:tcPr>
          <w:p w:rsidR="00C103A2" w:rsidRPr="00281069" w:rsidRDefault="00C103A2" w:rsidP="0091037D">
            <w:pPr>
              <w:spacing w:line="460" w:lineRule="exact"/>
              <w:jc w:val="center"/>
              <w:rPr>
                <w:rFonts w:ascii="仿宋" w:eastAsia="仿宋" w:hAnsi="仿宋"/>
                <w:color w:val="000000" w:themeColor="text1"/>
                <w:sz w:val="24"/>
                <w:szCs w:val="24"/>
              </w:rPr>
            </w:pPr>
            <w:r w:rsidRPr="00281069">
              <w:rPr>
                <w:rFonts w:ascii="仿宋" w:eastAsia="仿宋" w:hAnsi="仿宋" w:hint="eastAsia"/>
                <w:color w:val="000000" w:themeColor="text1"/>
                <w:sz w:val="24"/>
                <w:szCs w:val="24"/>
              </w:rPr>
              <w:lastRenderedPageBreak/>
              <w:t>7</w:t>
            </w:r>
          </w:p>
        </w:tc>
        <w:tc>
          <w:tcPr>
            <w:tcW w:w="1113"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2023年</w:t>
            </w:r>
            <w:r w:rsidRPr="00281069">
              <w:rPr>
                <w:rFonts w:ascii="仿宋" w:eastAsia="仿宋" w:hAnsi="仿宋"/>
                <w:color w:val="000000" w:themeColor="text1"/>
                <w:sz w:val="24"/>
                <w:szCs w:val="24"/>
              </w:rPr>
              <w:t>4</w:t>
            </w:r>
            <w:r w:rsidRPr="00281069">
              <w:rPr>
                <w:rFonts w:ascii="仿宋" w:eastAsia="仿宋" w:hAnsi="仿宋" w:hint="eastAsia"/>
                <w:color w:val="000000" w:themeColor="text1"/>
                <w:sz w:val="24"/>
                <w:szCs w:val="24"/>
              </w:rPr>
              <w:t>月</w:t>
            </w:r>
            <w:r w:rsidRPr="00281069">
              <w:rPr>
                <w:rFonts w:ascii="仿宋" w:eastAsia="仿宋" w:hAnsi="仿宋"/>
                <w:color w:val="000000" w:themeColor="text1"/>
                <w:sz w:val="24"/>
                <w:szCs w:val="24"/>
              </w:rPr>
              <w:t>24</w:t>
            </w:r>
            <w:r w:rsidRPr="00281069">
              <w:rPr>
                <w:rFonts w:ascii="仿宋" w:eastAsia="仿宋" w:hAnsi="仿宋" w:hint="eastAsia"/>
                <w:color w:val="000000" w:themeColor="text1"/>
                <w:sz w:val="24"/>
                <w:szCs w:val="24"/>
              </w:rPr>
              <w:t>日</w:t>
            </w:r>
          </w:p>
        </w:tc>
        <w:tc>
          <w:tcPr>
            <w:tcW w:w="1276"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国家矿山安全监察局山东局</w:t>
            </w:r>
          </w:p>
        </w:tc>
        <w:tc>
          <w:tcPr>
            <w:tcW w:w="1276" w:type="dxa"/>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枣庄大兴矿业有限责任公司</w:t>
            </w:r>
          </w:p>
        </w:tc>
        <w:tc>
          <w:tcPr>
            <w:tcW w:w="7654" w:type="dxa"/>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13.北翼采区专回经评价具有弱冲击危险性，巷道上口20m范围内采用单体液压支柱配合工字钢加强支护，未采取防倒措施，存在支柱倾倒伤人、支护失效的隐患，矿井未及时发现并消除事故隐患，不符合《中华人民共和国安全生产法》第四十一条第二款的规定；14.2北303采煤工作面的运输巷（10号导线点附近）、轨道巷（8号导线点附近）分别于2022年上半年揭露岩浆岩侵入形成的构造带（宽度约3米），矿井未按照《山东煤矿安全监察局 山东省能源局关于印发&lt;煤矿采掘工作面遇断层等构造带安全防治规定（试行）&gt;的通知》（鲁煤监安监〔2021〕57号）第十九条要求对巷道揭露的上述岩浆岩侵入构造带采取联合支护方式加强支护。2北303采煤工作面推采期间，存在该构造带附近支护强度不足、采动应力叠加影响，造成顶板事故的隐患，矿井未及时发现并消除事故隐患，不符合《中华人民共和国安全生产法》第四十一条第二款的规定。</w:t>
            </w:r>
          </w:p>
        </w:tc>
        <w:tc>
          <w:tcPr>
            <w:tcW w:w="1418"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《中华人民共和国安全生产法》第一百零二条</w:t>
            </w:r>
          </w:p>
        </w:tc>
        <w:tc>
          <w:tcPr>
            <w:tcW w:w="1435"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合处叁万元整的罚款。</w:t>
            </w:r>
          </w:p>
        </w:tc>
      </w:tr>
      <w:tr w:rsidR="00C103A2" w:rsidRPr="001E3879" w:rsidTr="0091037D">
        <w:trPr>
          <w:trHeight w:val="2643"/>
          <w:jc w:val="center"/>
        </w:trPr>
        <w:tc>
          <w:tcPr>
            <w:tcW w:w="696" w:type="dxa"/>
            <w:vAlign w:val="center"/>
          </w:tcPr>
          <w:p w:rsidR="00C103A2" w:rsidRPr="00281069" w:rsidRDefault="00C103A2" w:rsidP="0091037D">
            <w:pPr>
              <w:spacing w:line="460" w:lineRule="exact"/>
              <w:jc w:val="center"/>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8</w:t>
            </w:r>
          </w:p>
        </w:tc>
        <w:tc>
          <w:tcPr>
            <w:tcW w:w="1113"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2023年</w:t>
            </w:r>
            <w:r w:rsidRPr="00281069">
              <w:rPr>
                <w:rFonts w:ascii="仿宋" w:eastAsia="仿宋" w:hAnsi="仿宋"/>
                <w:color w:val="000000" w:themeColor="text1"/>
                <w:sz w:val="24"/>
                <w:szCs w:val="24"/>
              </w:rPr>
              <w:t>4</w:t>
            </w:r>
            <w:r w:rsidRPr="00281069">
              <w:rPr>
                <w:rFonts w:ascii="仿宋" w:eastAsia="仿宋" w:hAnsi="仿宋" w:hint="eastAsia"/>
                <w:color w:val="000000" w:themeColor="text1"/>
                <w:sz w:val="24"/>
                <w:szCs w:val="24"/>
              </w:rPr>
              <w:t>月</w:t>
            </w:r>
            <w:r w:rsidRPr="00281069">
              <w:rPr>
                <w:rFonts w:ascii="仿宋" w:eastAsia="仿宋" w:hAnsi="仿宋"/>
                <w:color w:val="000000" w:themeColor="text1"/>
                <w:sz w:val="24"/>
                <w:szCs w:val="24"/>
              </w:rPr>
              <w:t>24</w:t>
            </w:r>
            <w:r w:rsidRPr="00281069">
              <w:rPr>
                <w:rFonts w:ascii="仿宋" w:eastAsia="仿宋" w:hAnsi="仿宋" w:hint="eastAsia"/>
                <w:color w:val="000000" w:themeColor="text1"/>
                <w:sz w:val="24"/>
                <w:szCs w:val="24"/>
              </w:rPr>
              <w:t>日</w:t>
            </w:r>
          </w:p>
        </w:tc>
        <w:tc>
          <w:tcPr>
            <w:tcW w:w="1276"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国家矿山安全监察局山东局</w:t>
            </w:r>
          </w:p>
        </w:tc>
        <w:tc>
          <w:tcPr>
            <w:tcW w:w="1276" w:type="dxa"/>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枣庄大兴矿业有限责任公司</w:t>
            </w:r>
          </w:p>
        </w:tc>
        <w:tc>
          <w:tcPr>
            <w:tcW w:w="7654" w:type="dxa"/>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15.矿井兼职救护队2023年以来未开展应急救援行动演练，不符合《山东省生产安全事故应急办法》第十九条第一款的规定。</w:t>
            </w:r>
          </w:p>
        </w:tc>
        <w:tc>
          <w:tcPr>
            <w:tcW w:w="1418"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《山东省生产安全事故应急办法》第三十三条第三项</w:t>
            </w:r>
          </w:p>
        </w:tc>
        <w:tc>
          <w:tcPr>
            <w:tcW w:w="1435"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处贰万元整的罚款。</w:t>
            </w:r>
          </w:p>
        </w:tc>
      </w:tr>
      <w:tr w:rsidR="00C103A2" w:rsidRPr="001E3879" w:rsidTr="0091037D">
        <w:trPr>
          <w:trHeight w:val="2643"/>
          <w:jc w:val="center"/>
        </w:trPr>
        <w:tc>
          <w:tcPr>
            <w:tcW w:w="696" w:type="dxa"/>
            <w:vAlign w:val="center"/>
          </w:tcPr>
          <w:p w:rsidR="00C103A2" w:rsidRPr="00281069" w:rsidRDefault="00C103A2" w:rsidP="0091037D">
            <w:pPr>
              <w:spacing w:line="460" w:lineRule="exact"/>
              <w:jc w:val="center"/>
              <w:rPr>
                <w:rFonts w:ascii="仿宋" w:eastAsia="仿宋" w:hAnsi="仿宋"/>
                <w:color w:val="000000" w:themeColor="text1"/>
                <w:sz w:val="24"/>
                <w:szCs w:val="24"/>
              </w:rPr>
            </w:pPr>
            <w:r w:rsidRPr="00281069">
              <w:rPr>
                <w:rFonts w:ascii="仿宋" w:eastAsia="仿宋" w:hAnsi="仿宋" w:hint="eastAsia"/>
                <w:color w:val="000000" w:themeColor="text1"/>
                <w:sz w:val="24"/>
                <w:szCs w:val="24"/>
              </w:rPr>
              <w:lastRenderedPageBreak/>
              <w:t>9</w:t>
            </w:r>
          </w:p>
        </w:tc>
        <w:tc>
          <w:tcPr>
            <w:tcW w:w="1113"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2023年</w:t>
            </w:r>
            <w:r w:rsidRPr="00281069">
              <w:rPr>
                <w:rFonts w:ascii="仿宋" w:eastAsia="仿宋" w:hAnsi="仿宋"/>
                <w:color w:val="000000" w:themeColor="text1"/>
                <w:sz w:val="24"/>
                <w:szCs w:val="24"/>
              </w:rPr>
              <w:t>4</w:t>
            </w:r>
            <w:r w:rsidRPr="00281069">
              <w:rPr>
                <w:rFonts w:ascii="仿宋" w:eastAsia="仿宋" w:hAnsi="仿宋" w:hint="eastAsia"/>
                <w:color w:val="000000" w:themeColor="text1"/>
                <w:sz w:val="24"/>
                <w:szCs w:val="24"/>
              </w:rPr>
              <w:t>月</w:t>
            </w:r>
            <w:r w:rsidRPr="00281069">
              <w:rPr>
                <w:rFonts w:ascii="仿宋" w:eastAsia="仿宋" w:hAnsi="仿宋"/>
                <w:color w:val="000000" w:themeColor="text1"/>
                <w:sz w:val="24"/>
                <w:szCs w:val="24"/>
              </w:rPr>
              <w:t>24</w:t>
            </w:r>
            <w:r w:rsidRPr="00281069">
              <w:rPr>
                <w:rFonts w:ascii="仿宋" w:eastAsia="仿宋" w:hAnsi="仿宋" w:hint="eastAsia"/>
                <w:color w:val="000000" w:themeColor="text1"/>
                <w:sz w:val="24"/>
                <w:szCs w:val="24"/>
              </w:rPr>
              <w:t>日</w:t>
            </w:r>
          </w:p>
        </w:tc>
        <w:tc>
          <w:tcPr>
            <w:tcW w:w="1276"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国家矿山安全监察局山东局</w:t>
            </w:r>
          </w:p>
        </w:tc>
        <w:tc>
          <w:tcPr>
            <w:tcW w:w="1276" w:type="dxa"/>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枣庄大兴矿业有限责任公司</w:t>
            </w:r>
          </w:p>
        </w:tc>
        <w:tc>
          <w:tcPr>
            <w:tcW w:w="7654" w:type="dxa"/>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16.2北306运输联络巷与2北材料巷巷道交岔点掘进施工前生产技术部未组织现场会诊，未编制施工安全技术措施并绘制施工大样图，施工结束后也未组织竣工验收，不符合《大兴矿业有限公司掘进工作面顶板管理制度》第八条“交岔点施工前要由生产技术部组织现场会诊”“施工单位编制施工安全技术措施、绘制施工大样图”“施工结束后生产技术部必须组织竣工验收”的规定；17.2023年4月8日10时51分2北303运输巷213</w:t>
            </w:r>
            <w:r w:rsidRPr="00281069">
              <w:rPr>
                <w:rFonts w:ascii="仿宋" w:eastAsia="仿宋" w:hAnsi="仿宋" w:hint="eastAsia"/>
                <w:color w:val="000000" w:themeColor="text1"/>
                <w:sz w:val="24"/>
                <w:szCs w:val="24"/>
                <w:vertAlign w:val="superscript"/>
              </w:rPr>
              <w:t>#</w:t>
            </w:r>
            <w:r w:rsidRPr="00281069">
              <w:rPr>
                <w:rFonts w:ascii="仿宋" w:eastAsia="仿宋" w:hAnsi="仿宋" w:hint="eastAsia"/>
                <w:color w:val="000000" w:themeColor="text1"/>
                <w:sz w:val="24"/>
                <w:szCs w:val="24"/>
              </w:rPr>
              <w:t>应力传感器压力降至2.4MPa；4月6日22时32分2北302运输巷152</w:t>
            </w:r>
            <w:r w:rsidRPr="00281069">
              <w:rPr>
                <w:rFonts w:ascii="仿宋" w:eastAsia="仿宋" w:hAnsi="仿宋" w:hint="eastAsia"/>
                <w:color w:val="000000" w:themeColor="text1"/>
                <w:sz w:val="24"/>
                <w:szCs w:val="24"/>
                <w:vertAlign w:val="superscript"/>
              </w:rPr>
              <w:t>#</w:t>
            </w:r>
            <w:r w:rsidRPr="00281069">
              <w:rPr>
                <w:rFonts w:ascii="仿宋" w:eastAsia="仿宋" w:hAnsi="仿宋" w:hint="eastAsia"/>
                <w:color w:val="000000" w:themeColor="text1"/>
                <w:sz w:val="24"/>
                <w:szCs w:val="24"/>
              </w:rPr>
              <w:t>应力传感器压力降至2.2MPa，应力传感器低于2.5MPa后未及时进行注油补压维护，不符合《大兴矿业有限公司冲击地压监测设备安装管理制度》中“应力传感器低于2.5MPa后，必须及时处理”的规定。</w:t>
            </w:r>
          </w:p>
        </w:tc>
        <w:tc>
          <w:tcPr>
            <w:tcW w:w="1418"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cs="仿宋_GB2312" w:hint="eastAsia"/>
                <w:color w:val="000000" w:themeColor="text1"/>
                <w:sz w:val="24"/>
                <w:szCs w:val="24"/>
              </w:rPr>
              <w:t>《安全生产违法行为行政处罚办法》第四十五条第一款</w:t>
            </w:r>
          </w:p>
        </w:tc>
        <w:tc>
          <w:tcPr>
            <w:tcW w:w="1435" w:type="dxa"/>
            <w:vAlign w:val="center"/>
          </w:tcPr>
          <w:p w:rsidR="00C103A2" w:rsidRPr="00281069" w:rsidRDefault="00C103A2" w:rsidP="0091037D">
            <w:pPr>
              <w:spacing w:line="460" w:lineRule="exact"/>
              <w:rPr>
                <w:rFonts w:ascii="仿宋" w:eastAsia="仿宋" w:hAnsi="仿宋"/>
                <w:color w:val="000000" w:themeColor="text1"/>
                <w:sz w:val="24"/>
                <w:szCs w:val="24"/>
              </w:rPr>
            </w:pPr>
            <w:r w:rsidRPr="00281069">
              <w:rPr>
                <w:rFonts w:ascii="仿宋" w:eastAsia="仿宋" w:hAnsi="仿宋" w:hint="eastAsia"/>
                <w:color w:val="000000" w:themeColor="text1"/>
                <w:sz w:val="24"/>
                <w:szCs w:val="24"/>
              </w:rPr>
              <w:t>给予警告，合处贰万元整的罚款。</w:t>
            </w:r>
          </w:p>
        </w:tc>
      </w:tr>
    </w:tbl>
    <w:p w:rsidR="00C103A2" w:rsidRPr="001E3879" w:rsidRDefault="00C103A2" w:rsidP="00C103A2">
      <w:pPr>
        <w:tabs>
          <w:tab w:val="left" w:pos="1264"/>
          <w:tab w:val="right" w:pos="11479"/>
        </w:tabs>
        <w:spacing w:line="560" w:lineRule="exact"/>
        <w:ind w:right="1276"/>
        <w:jc w:val="left"/>
        <w:rPr>
          <w:rFonts w:ascii="仿宋" w:eastAsia="仿宋" w:hAnsi="仿宋"/>
          <w:color w:val="000000" w:themeColor="text1"/>
          <w:szCs w:val="32"/>
        </w:rPr>
      </w:pPr>
      <w:r>
        <w:rPr>
          <w:rFonts w:ascii="仿宋" w:eastAsia="仿宋" w:hAnsi="仿宋"/>
          <w:color w:val="000000" w:themeColor="text1"/>
          <w:szCs w:val="32"/>
        </w:rPr>
        <w:tab/>
      </w:r>
      <w:r w:rsidRPr="001E3879">
        <w:rPr>
          <w:rFonts w:ascii="仿宋" w:eastAsia="仿宋" w:hAnsi="仿宋"/>
          <w:color w:val="000000" w:themeColor="text1"/>
          <w:szCs w:val="32"/>
        </w:rPr>
        <w:br w:type="page"/>
      </w:r>
    </w:p>
    <w:p w:rsidR="00C103A2" w:rsidRPr="001E3879" w:rsidRDefault="00C103A2" w:rsidP="00C103A2">
      <w:pPr>
        <w:spacing w:line="560" w:lineRule="exact"/>
        <w:rPr>
          <w:rFonts w:ascii="方正小标宋简体" w:eastAsia="方正小标宋简体" w:hAnsi="等线"/>
          <w:color w:val="000000" w:themeColor="text1"/>
          <w:sz w:val="18"/>
          <w:szCs w:val="18"/>
        </w:rPr>
      </w:pPr>
    </w:p>
    <w:p w:rsidR="00C93400" w:rsidRPr="00C103A2" w:rsidRDefault="00C93400"/>
    <w:sectPr w:rsidR="00C93400" w:rsidRPr="00C103A2" w:rsidSect="00C103A2">
      <w:pgSz w:w="16838" w:h="11907" w:orient="landscape"/>
      <w:pgMar w:top="1588" w:right="2098" w:bottom="1474" w:left="1985" w:header="851" w:footer="992" w:gutter="0"/>
      <w:cols w:space="425"/>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3A2"/>
    <w:rsid w:val="00C103A2"/>
    <w:rsid w:val="00C93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DA9D"/>
  <w15:chartTrackingRefBased/>
  <w15:docId w15:val="{740F1F7B-C1AC-4625-92CF-4C2B9AEC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3A2"/>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419</Words>
  <Characters>2392</Characters>
  <Application>Microsoft Office Word</Application>
  <DocSecurity>0</DocSecurity>
  <Lines>19</Lines>
  <Paragraphs>5</Paragraphs>
  <ScaleCrop>false</ScaleCrop>
  <Company>sdj</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李澎</dc:creator>
  <cp:keywords/>
  <dc:description/>
  <cp:lastModifiedBy>李澎</cp:lastModifiedBy>
  <cp:revision>1</cp:revision>
  <dcterms:created xsi:type="dcterms:W3CDTF">2023-04-27T04:38:00Z</dcterms:created>
  <dcterms:modified xsi:type="dcterms:W3CDTF">2023-04-27T04:39:00Z</dcterms:modified>
</cp:coreProperties>
</file>