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5C" w:rsidRDefault="009F005C" w:rsidP="00FB1C2C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9F005C" w:rsidRDefault="00FB1C2C" w:rsidP="00FB1C2C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9F005C">
        <w:rPr>
          <w:rFonts w:ascii="方正小标宋简体" w:eastAsia="方正小标宋简体" w:hAnsi="等线" w:cs="Times New Roman" w:hint="eastAsia"/>
          <w:sz w:val="44"/>
          <w:szCs w:val="44"/>
        </w:rPr>
        <w:t>监察执法一处</w:t>
      </w:r>
    </w:p>
    <w:p w:rsidR="00FB1C2C" w:rsidRDefault="00FB1C2C" w:rsidP="00FB1C2C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等线" w:cs="Times New Roman"/>
          <w:sz w:val="44"/>
          <w:szCs w:val="44"/>
        </w:rPr>
        <w:t>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年第</w:t>
      </w:r>
      <w:r w:rsidR="005F2E80">
        <w:rPr>
          <w:rFonts w:ascii="方正小标宋简体" w:eastAsia="方正小标宋简体" w:hAnsi="等线" w:cs="Times New Roman"/>
          <w:sz w:val="44"/>
          <w:szCs w:val="44"/>
        </w:rPr>
        <w:t>6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  <w:bookmarkStart w:id="0" w:name="_GoBack"/>
      <w:bookmarkEnd w:id="0"/>
    </w:p>
    <w:p w:rsidR="00FB1C2C" w:rsidRDefault="00FB1C2C" w:rsidP="00FB1C2C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B1C2C" w:rsidRDefault="00FB1C2C" w:rsidP="00FB1C2C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根据《中华人民共和国安全生产法》第七十八条第二款等规定，现将我局2023年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FB1C2C" w:rsidRDefault="00FB1C2C" w:rsidP="00FB1C2C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B1C2C" w:rsidRDefault="00FB1C2C" w:rsidP="00FB1C2C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附件：监察执法一处2023年第</w:t>
      </w:r>
      <w:r>
        <w:rPr>
          <w:rFonts w:ascii="仿宋_GB2312" w:hAnsi="等线" w:cs="Times New Roman"/>
          <w:szCs w:val="32"/>
        </w:rPr>
        <w:t>6</w:t>
      </w:r>
      <w:r>
        <w:rPr>
          <w:rFonts w:ascii="仿宋_GB2312" w:hAnsi="等线" w:cs="Times New Roman" w:hint="eastAsia"/>
          <w:szCs w:val="32"/>
        </w:rPr>
        <w:t>批行政处罚信息公开表</w:t>
      </w:r>
    </w:p>
    <w:p w:rsidR="00FB1C2C" w:rsidRDefault="00FB1C2C" w:rsidP="00FB1C2C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B1C2C" w:rsidRDefault="00FB1C2C" w:rsidP="00FB1C2C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FB1C2C" w:rsidRDefault="00FB1C2C" w:rsidP="00FB1C2C">
      <w:pPr>
        <w:spacing w:line="56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FB1C2C" w:rsidRDefault="00FB1C2C" w:rsidP="00FB1C2C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2023年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3</w:t>
      </w:r>
      <w:r>
        <w:rPr>
          <w:rFonts w:ascii="仿宋_GB2312" w:hAnsi="等线" w:cs="Times New Roman" w:hint="eastAsia"/>
          <w:szCs w:val="32"/>
        </w:rPr>
        <w:t>日</w:t>
      </w:r>
    </w:p>
    <w:p w:rsidR="00FB1C2C" w:rsidRDefault="00FB1C2C" w:rsidP="00FB1C2C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  <w:sectPr w:rsidR="00FB1C2C">
          <w:footerReference w:type="default" r:id="rId6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  <w:r>
        <w:rPr>
          <w:rFonts w:ascii="黑体" w:eastAsia="黑体" w:hAnsi="黑体" w:cs="仿宋_GB2312"/>
          <w:szCs w:val="32"/>
        </w:rPr>
        <w:br w:type="page"/>
      </w:r>
    </w:p>
    <w:p w:rsidR="00FB1C2C" w:rsidRDefault="00FB1C2C" w:rsidP="00FB1C2C">
      <w:pPr>
        <w:pStyle w:val="4"/>
        <w:spacing w:line="560" w:lineRule="exact"/>
        <w:ind w:firstLineChars="0" w:firstLine="0"/>
        <w:rPr>
          <w:rFonts w:ascii="仿宋_GB2312" w:hAnsi="仿宋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  <w:r>
        <w:rPr>
          <w:rFonts w:ascii="仿宋_GB2312" w:hAnsi="仿宋" w:cs="仿宋_GB2312" w:hint="eastAsia"/>
        </w:rPr>
        <w:t xml:space="preserve">    </w:t>
      </w:r>
    </w:p>
    <w:p w:rsidR="00FB1C2C" w:rsidRDefault="00FB1C2C" w:rsidP="00FB1C2C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监察执法一处2023年第</w:t>
      </w:r>
      <w:r>
        <w:rPr>
          <w:rFonts w:ascii="方正小标宋简体" w:eastAsia="方正小标宋简体" w:hAnsi="仿宋" w:cs="仿宋_GB2312"/>
          <w:sz w:val="36"/>
          <w:szCs w:val="36"/>
        </w:rPr>
        <w:t>6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p w:rsidR="00FB1C2C" w:rsidRDefault="00FB1C2C" w:rsidP="00FB1C2C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FB1C2C" w:rsidTr="0059401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1C2C" w:rsidRDefault="00FB1C2C" w:rsidP="0059401B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FB1C2C" w:rsidTr="0059401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肥城矿业集团单县能源有限责任公司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3804胶带顺槽外段开门口（三岔门）处未安装顶板离层观测装置，不符合《强化煤矿锚杆支护巷道顶板管理规定》（</w:t>
            </w:r>
            <w:proofErr w:type="gramStart"/>
            <w:r>
              <w:rPr>
                <w:rFonts w:ascii="仿宋_GB2312" w:hAnsi="宋体" w:hint="eastAsia"/>
                <w:sz w:val="24"/>
              </w:rPr>
              <w:t>矿安〔2022〕</w:t>
            </w:r>
            <w:proofErr w:type="gramEnd"/>
            <w:r>
              <w:rPr>
                <w:rFonts w:ascii="仿宋_GB2312" w:hAnsi="宋体" w:hint="eastAsia"/>
                <w:sz w:val="24"/>
              </w:rPr>
              <w:t>135号）第六条的规定；矿井</w:t>
            </w:r>
            <w:proofErr w:type="gramStart"/>
            <w:r>
              <w:rPr>
                <w:rFonts w:ascii="仿宋_GB2312" w:hAnsi="宋体" w:hint="eastAsia"/>
                <w:sz w:val="24"/>
              </w:rPr>
              <w:t>风井底南巷道</w:t>
            </w:r>
            <w:proofErr w:type="gramEnd"/>
            <w:r>
              <w:rPr>
                <w:rFonts w:ascii="仿宋_GB2312" w:hAnsi="宋体" w:hint="eastAsia"/>
                <w:sz w:val="24"/>
              </w:rPr>
              <w:t>为矿井总回风巷道，未设置一氧化碳传感器，不符合《煤矿防灭火细则》第五十三条第二项规定；3601综采工作面（回撤）液压支架装车点附近配电点进线低压馈电开关2月12日未进行低压漏电保护跳闸试验，不符合《煤矿安全规程》第四百五十三条第四款规定。</w:t>
            </w:r>
          </w:p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《中华人民共和国安全生产法》第九十九条第二项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</w:t>
            </w:r>
          </w:p>
        </w:tc>
      </w:tr>
      <w:tr w:rsidR="00FB1C2C" w:rsidTr="0059401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肥城矿业集团单县能源有限责任公司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3804胶带顺槽71、88#风筒处2处带式输送机底托辊磨底板，85#风筒处安装的1处输送机防跑偏</w:t>
            </w:r>
            <w:proofErr w:type="gramStart"/>
            <w:r>
              <w:rPr>
                <w:rFonts w:ascii="仿宋_GB2312" w:hAnsi="宋体" w:hint="eastAsia"/>
                <w:sz w:val="24"/>
              </w:rPr>
              <w:t>竖</w:t>
            </w:r>
            <w:proofErr w:type="gramEnd"/>
            <w:r>
              <w:rPr>
                <w:rFonts w:ascii="仿宋_GB2312" w:hAnsi="宋体" w:hint="eastAsia"/>
                <w:sz w:val="24"/>
              </w:rPr>
              <w:t>托辊被磨穿，未及时维护，不符合《煤矿安全规程》第四条第五款的规定；3601采煤工作面于2022年10月2日回采结束，至今未进行永久性封闭，未及时消除事故隐患，不符合《煤矿安全规程》第二百七十四条第一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</w:t>
            </w:r>
            <w:proofErr w:type="gramStart"/>
            <w:r>
              <w:rPr>
                <w:rFonts w:ascii="仿宋_GB2312" w:hAnsi="宋体" w:hint="eastAsia"/>
                <w:sz w:val="24"/>
              </w:rPr>
              <w:t>肆万</w:t>
            </w:r>
            <w:proofErr w:type="gramEnd"/>
            <w:r>
              <w:rPr>
                <w:rFonts w:ascii="仿宋_GB2312" w:hAnsi="宋体" w:hint="eastAsia"/>
                <w:sz w:val="24"/>
              </w:rPr>
              <w:t>元</w:t>
            </w:r>
          </w:p>
        </w:tc>
      </w:tr>
      <w:tr w:rsidR="00FB1C2C" w:rsidTr="0059401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肥城矿业集团单县能源有限责任公司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3601轨道顺槽有2组超前支护单体液压支柱间距1.7m，不符合《3601采煤工作面作业规程》“超前支护单体液压支柱间距0.8m”的规定；轨道顺槽倾角约27°，拆解点以里50m范围内有5棵单体液压支柱</w:t>
            </w:r>
            <w:proofErr w:type="gramStart"/>
            <w:r>
              <w:rPr>
                <w:rFonts w:ascii="仿宋_GB2312" w:hAnsi="宋体" w:hint="eastAsia"/>
                <w:sz w:val="24"/>
              </w:rPr>
              <w:t>竖直打设</w:t>
            </w:r>
            <w:proofErr w:type="gramEnd"/>
            <w:r>
              <w:rPr>
                <w:rFonts w:ascii="仿宋_GB2312" w:hAnsi="宋体" w:hint="eastAsia"/>
                <w:sz w:val="24"/>
              </w:rPr>
              <w:t>，无迎山角度，不符合《3601综采工作面撤除作业规程》第七章第三节“7.支设单体液压支柱保证接顶可靠，迎山有力”规定；3602综采工作面第9#与第10#、第101#与第102#液压支架</w:t>
            </w:r>
            <w:proofErr w:type="gramStart"/>
            <w:r>
              <w:rPr>
                <w:rFonts w:ascii="仿宋_GB2312" w:hAnsi="宋体" w:hint="eastAsia"/>
                <w:sz w:val="24"/>
              </w:rPr>
              <w:t>之间错茬超过</w:t>
            </w:r>
            <w:proofErr w:type="gramEnd"/>
            <w:r>
              <w:rPr>
                <w:rFonts w:ascii="仿宋_GB2312" w:hAnsi="宋体" w:hint="eastAsia"/>
                <w:sz w:val="24"/>
              </w:rPr>
              <w:lastRenderedPageBreak/>
              <w:t>顶梁侧护板高度的2/3，不符合《3602工作面作业规程》中“液压支架间错茬不得超过顶梁侧护板高度的2/3”的规定；3804</w:t>
            </w:r>
            <w:proofErr w:type="gramStart"/>
            <w:r>
              <w:rPr>
                <w:rFonts w:ascii="仿宋_GB2312" w:hAnsi="宋体" w:hint="eastAsia"/>
                <w:sz w:val="24"/>
              </w:rPr>
              <w:t>轨顺掘进</w:t>
            </w:r>
            <w:proofErr w:type="gramEnd"/>
            <w:r>
              <w:rPr>
                <w:rFonts w:ascii="仿宋_GB2312" w:hAnsi="宋体" w:hint="eastAsia"/>
                <w:sz w:val="24"/>
              </w:rPr>
              <w:t>工作面已经掘进400米，未随掘进每50m 标记一次，不符合国家矿山安全监察局山东局 山东省能源局《“标尺标识”动态管控采掘工作面推进速度》第二条的规定。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</w:t>
            </w:r>
            <w:proofErr w:type="gramStart"/>
            <w:r>
              <w:rPr>
                <w:rFonts w:ascii="仿宋_GB2312" w:hAnsi="宋体" w:hint="eastAsia"/>
                <w:sz w:val="24"/>
              </w:rPr>
              <w:t>肆万</w:t>
            </w:r>
            <w:proofErr w:type="gramEnd"/>
            <w:r>
              <w:rPr>
                <w:rFonts w:ascii="仿宋_GB2312" w:hAnsi="宋体" w:hint="eastAsia"/>
                <w:sz w:val="24"/>
              </w:rPr>
              <w:t>元</w:t>
            </w:r>
          </w:p>
        </w:tc>
      </w:tr>
      <w:tr w:rsidR="00FB1C2C" w:rsidTr="0059401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肥城矿业集团单县能源有限责任公司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2023年1月13日3602 </w:t>
            </w:r>
            <w:proofErr w:type="gramStart"/>
            <w:r>
              <w:rPr>
                <w:rFonts w:ascii="仿宋_GB2312" w:hAnsi="宋体" w:hint="eastAsia"/>
                <w:sz w:val="24"/>
              </w:rPr>
              <w:t>联巷回风</w:t>
            </w:r>
            <w:proofErr w:type="gramEnd"/>
            <w:r>
              <w:rPr>
                <w:rFonts w:ascii="仿宋_GB2312" w:hAnsi="宋体" w:hint="eastAsia"/>
                <w:sz w:val="24"/>
              </w:rPr>
              <w:t>与3601工作面回风流一氧化碳同步异常，煤矿在安全风险监测预警系统中报警原因填报不准确，未查明具体报警原因，不符合《煤矿安全规程》第四百九十四条的规定；3601综采工作面（回撤）</w:t>
            </w:r>
            <w:proofErr w:type="gramStart"/>
            <w:r>
              <w:rPr>
                <w:rFonts w:ascii="仿宋_GB2312" w:hAnsi="宋体" w:hint="eastAsia"/>
                <w:sz w:val="24"/>
              </w:rPr>
              <w:t>轨顺液压支架</w:t>
            </w:r>
            <w:proofErr w:type="gramEnd"/>
            <w:r>
              <w:rPr>
                <w:rFonts w:ascii="仿宋_GB2312" w:hAnsi="宋体" w:hint="eastAsia"/>
                <w:sz w:val="24"/>
              </w:rPr>
              <w:t>上车点低压配电点一台磁力启动器外壳未与局部接地极连接，未检查维修，不符合《煤矿安全规程》第四条第五款规定。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B1C2C" w:rsidRDefault="00FB1C2C" w:rsidP="0059401B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罚款人民币伍万元</w:t>
            </w:r>
          </w:p>
        </w:tc>
      </w:tr>
    </w:tbl>
    <w:p w:rsidR="00FB1C2C" w:rsidRDefault="00FB1C2C" w:rsidP="00FB1C2C">
      <w:pPr>
        <w:spacing w:line="560" w:lineRule="exact"/>
        <w:rPr>
          <w:rFonts w:ascii="仿宋" w:eastAsia="仿宋" w:hAnsi="仿宋"/>
          <w:sz w:val="24"/>
          <w:szCs w:val="24"/>
        </w:rPr>
      </w:pPr>
    </w:p>
    <w:p w:rsidR="005743C9" w:rsidRDefault="005743C9"/>
    <w:sectPr w:rsidR="005743C9"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B5" w:rsidRDefault="00642DB5">
      <w:r>
        <w:separator/>
      </w:r>
    </w:p>
  </w:endnote>
  <w:endnote w:type="continuationSeparator" w:id="0">
    <w:p w:rsidR="00642DB5" w:rsidRDefault="0064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96550B" w:rsidRDefault="005F2E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05C" w:rsidRPr="009F005C">
          <w:rPr>
            <w:noProof/>
            <w:lang w:val="zh-CN"/>
          </w:rPr>
          <w:t>4</w:t>
        </w:r>
        <w:r>
          <w:fldChar w:fldCharType="end"/>
        </w:r>
      </w:p>
    </w:sdtContent>
  </w:sdt>
  <w:p w:rsidR="0096550B" w:rsidRDefault="00642D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B5" w:rsidRDefault="00642DB5">
      <w:r>
        <w:separator/>
      </w:r>
    </w:p>
  </w:footnote>
  <w:footnote w:type="continuationSeparator" w:id="0">
    <w:p w:rsidR="00642DB5" w:rsidRDefault="0064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2C"/>
    <w:rsid w:val="00000958"/>
    <w:rsid w:val="000038C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34F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515F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C7B49"/>
    <w:rsid w:val="004D6C8A"/>
    <w:rsid w:val="004D6F33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2E80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42DB5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0FD0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005C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0E52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119F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A0E3C"/>
    <w:rsid w:val="00DA1AAB"/>
    <w:rsid w:val="00DA2558"/>
    <w:rsid w:val="00DA3105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098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1C2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E851"/>
  <w15:chartTrackingRefBased/>
  <w15:docId w15:val="{12EBAD5A-2B12-4A22-96A7-146D447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2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B1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B1C2C"/>
    <w:rPr>
      <w:rFonts w:eastAsia="仿宋_GB2312"/>
      <w:sz w:val="18"/>
      <w:szCs w:val="18"/>
    </w:rPr>
  </w:style>
  <w:style w:type="character" w:customStyle="1" w:styleId="4Char">
    <w:name w:val="样式4 Char"/>
    <w:link w:val="4"/>
    <w:qFormat/>
    <w:rsid w:val="00FB1C2C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rsid w:val="00FB1C2C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1215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3</cp:revision>
  <dcterms:created xsi:type="dcterms:W3CDTF">2023-03-05T22:28:00Z</dcterms:created>
  <dcterms:modified xsi:type="dcterms:W3CDTF">2023-03-06T03:50:00Z</dcterms:modified>
</cp:coreProperties>
</file>