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38" w:rsidRDefault="00B63B38" w:rsidP="00480B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3B38" w:rsidRDefault="00480B08" w:rsidP="00480B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国家矿山安全监察局山东局</w:t>
      </w:r>
      <w:r w:rsidR="00B63B38">
        <w:rPr>
          <w:rFonts w:ascii="方正小标宋简体" w:eastAsia="方正小标宋简体" w:hint="eastAsia"/>
          <w:sz w:val="44"/>
          <w:szCs w:val="44"/>
        </w:rPr>
        <w:t>监察</w:t>
      </w:r>
      <w:r w:rsidR="00B63B38">
        <w:rPr>
          <w:rFonts w:ascii="方正小标宋简体" w:eastAsia="方正小标宋简体" w:hint="eastAsia"/>
          <w:sz w:val="44"/>
          <w:szCs w:val="44"/>
        </w:rPr>
        <w:t>执法二处</w:t>
      </w:r>
    </w:p>
    <w:p w:rsidR="00480B08" w:rsidRDefault="00480B08" w:rsidP="00480B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2023年第6批行政处罚信息公告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根据《中华人民共和国安全生产法》第七十八条第二款等规定，现将我局</w:t>
      </w:r>
      <w:r>
        <w:rPr>
          <w:rFonts w:ascii="仿宋_GB2312"/>
          <w:szCs w:val="32"/>
        </w:rPr>
        <w:t>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</w:t>
      </w: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月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日</w:t>
      </w:r>
      <w:proofErr w:type="gramStart"/>
      <w:r>
        <w:rPr>
          <w:rFonts w:ascii="仿宋_GB2312"/>
          <w:szCs w:val="32"/>
        </w:rPr>
        <w:t>作出</w:t>
      </w:r>
      <w:proofErr w:type="gramEnd"/>
      <w:r>
        <w:rPr>
          <w:rFonts w:ascii="仿宋_GB2312"/>
          <w:szCs w:val="32"/>
        </w:rPr>
        <w:t xml:space="preserve">的行政处罚信息予以公开，并接受社会监督。 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 w:rsidR="00521C6F">
        <w:rPr>
          <w:rFonts w:ascii="仿宋_GB2312" w:hint="eastAsia"/>
          <w:szCs w:val="32"/>
        </w:rPr>
        <w:t>监察</w:t>
      </w:r>
      <w:r>
        <w:rPr>
          <w:rFonts w:ascii="仿宋_GB2312" w:hint="eastAsia"/>
          <w:szCs w:val="32"/>
        </w:rPr>
        <w:t>执法二处</w:t>
      </w:r>
      <w:r>
        <w:rPr>
          <w:rFonts w:ascii="仿宋_GB2312"/>
          <w:szCs w:val="32"/>
        </w:rPr>
        <w:t>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年第</w:t>
      </w:r>
      <w:r>
        <w:rPr>
          <w:rFonts w:ascii="仿宋_GB2312" w:hint="eastAsia"/>
          <w:szCs w:val="32"/>
        </w:rPr>
        <w:t>6</w:t>
      </w:r>
      <w:r>
        <w:rPr>
          <w:rFonts w:ascii="仿宋_GB2312"/>
          <w:szCs w:val="32"/>
        </w:rPr>
        <w:t>批行政处罚信息公开表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ind w:right="32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国家矿山安全监察局山东局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    202</w:t>
      </w: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年</w:t>
      </w: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月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日</w:t>
      </w:r>
    </w:p>
    <w:p w:rsidR="00480B08" w:rsidRDefault="00480B08" w:rsidP="00480B08"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Default="00480B08" w:rsidP="00480B08">
      <w:pPr>
        <w:spacing w:line="560" w:lineRule="exact"/>
        <w:jc w:val="center"/>
        <w:rPr>
          <w:rFonts w:ascii="仿宋_GB2312"/>
          <w:szCs w:val="32"/>
        </w:rPr>
      </w:pPr>
    </w:p>
    <w:p w:rsidR="00480B08" w:rsidRPr="009425A5" w:rsidRDefault="00480B08" w:rsidP="00480B08">
      <w:pPr>
        <w:spacing w:line="560" w:lineRule="exact"/>
        <w:jc w:val="left"/>
        <w:rPr>
          <w:rFonts w:ascii="黑体" w:eastAsia="黑体" w:hAnsi="黑体"/>
          <w:szCs w:val="32"/>
        </w:rPr>
      </w:pPr>
      <w:r w:rsidRPr="009425A5">
        <w:rPr>
          <w:rFonts w:ascii="黑体" w:eastAsia="黑体" w:hAnsi="黑体" w:hint="eastAsia"/>
          <w:szCs w:val="32"/>
        </w:rPr>
        <w:lastRenderedPageBreak/>
        <w:t>附件</w:t>
      </w:r>
    </w:p>
    <w:p w:rsidR="00480B08" w:rsidRDefault="00521C6F" w:rsidP="00480B08">
      <w:pPr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监察</w:t>
      </w:r>
      <w:bookmarkStart w:id="0" w:name="_GoBack"/>
      <w:bookmarkEnd w:id="0"/>
      <w:r w:rsidR="00480B08">
        <w:rPr>
          <w:rFonts w:ascii="方正小标宋简体" w:eastAsia="方正小标宋简体" w:hint="eastAsia"/>
          <w:szCs w:val="32"/>
        </w:rPr>
        <w:t>执法二处2023年第6批行政处罚信息公开表</w:t>
      </w:r>
    </w:p>
    <w:p w:rsidR="00480B08" w:rsidRDefault="00480B08" w:rsidP="00480B08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1001"/>
        <w:gridCol w:w="1143"/>
        <w:gridCol w:w="811"/>
        <w:gridCol w:w="3684"/>
        <w:gridCol w:w="726"/>
        <w:gridCol w:w="786"/>
      </w:tblGrid>
      <w:tr w:rsidR="00480B08" w:rsidTr="00867D03">
        <w:tc>
          <w:tcPr>
            <w:tcW w:w="386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66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执法决定日期</w:t>
            </w:r>
          </w:p>
        </w:tc>
        <w:tc>
          <w:tcPr>
            <w:tcW w:w="647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执法主体</w:t>
            </w:r>
          </w:p>
        </w:tc>
        <w:tc>
          <w:tcPr>
            <w:tcW w:w="459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执法对象</w:t>
            </w: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处罚依据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9425A5">
              <w:rPr>
                <w:rFonts w:ascii="黑体" w:eastAsia="黑体" w:hAnsi="黑体" w:hint="eastAsia"/>
                <w:sz w:val="24"/>
                <w:szCs w:val="24"/>
              </w:rPr>
              <w:t>处罚内容</w:t>
            </w:r>
          </w:p>
        </w:tc>
      </w:tr>
      <w:tr w:rsidR="00480B08" w:rsidTr="00867D03">
        <w:tc>
          <w:tcPr>
            <w:tcW w:w="386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2023年2月20日</w:t>
            </w:r>
          </w:p>
        </w:tc>
        <w:tc>
          <w:tcPr>
            <w:tcW w:w="647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新汶矿业集团有限责任公司华丰煤矿</w:t>
            </w: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jc w:val="lef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1.11105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切眼未及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时清除巷道中的浮煤和粉尘，局部通风机出风口扬起粉尘现场作业环境差，不符合《煤矿安全规程》第一百八十六条第二款的规定。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《煤矿安全监察行政处罚办法》第二十条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罚款人民币二万元整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2.-210m人行井上车场异形轨道岔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转辙不到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位置，使用期间未加强维护与检修，不符合《煤矿安全规程》第三百八十条第四项的规定。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《中华人民共和国安全生产法》第九十九条第三项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罚款人民币三万元整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3.-750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东岩巷掘进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工作面有一台型号为QJZ-120Z的喷浆机开关外壳局部接地极使用的铁管长度不足1.5m，不符合《煤矿安全规程》第四百七十八条第三款的规定。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罚款人民币三万元整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4.11105运输巷迎头后部80m处缺少一组桁架梁，不符合《11105运输巷掘进工作面作业规程》加强支护措施中“桁架梁滞后迎头不超30m”之规定。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《山东省安全生产条例》</w:t>
            </w: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第七十六条第一 款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罚款人民币七万元整</w:t>
            </w:r>
          </w:p>
        </w:tc>
      </w:tr>
      <w:tr w:rsidR="00480B08" w:rsidTr="00867D03">
        <w:tc>
          <w:tcPr>
            <w:tcW w:w="386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566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2023年2月20日</w:t>
            </w:r>
          </w:p>
        </w:tc>
        <w:tc>
          <w:tcPr>
            <w:tcW w:w="647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Merge w:val="restart"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肥城白庄煤矿有限公司</w:t>
            </w: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1.9701综采工作面第32</w:t>
            </w:r>
            <w:r w:rsidRPr="009425A5">
              <w:rPr>
                <w:rFonts w:ascii="仿宋_GB2312" w:hint="eastAsia"/>
                <w:sz w:val="24"/>
                <w:szCs w:val="24"/>
                <w:vertAlign w:val="superscript"/>
              </w:rPr>
              <w:t>#</w:t>
            </w:r>
            <w:r w:rsidRPr="009425A5">
              <w:rPr>
                <w:rFonts w:ascii="仿宋_GB2312" w:hint="eastAsia"/>
                <w:sz w:val="24"/>
                <w:szCs w:val="24"/>
              </w:rPr>
              <w:t>-42</w:t>
            </w:r>
            <w:r w:rsidRPr="009425A5">
              <w:rPr>
                <w:rFonts w:ascii="仿宋_GB2312" w:hint="eastAsia"/>
                <w:sz w:val="24"/>
                <w:szCs w:val="24"/>
                <w:vertAlign w:val="superscript"/>
              </w:rPr>
              <w:t>#</w:t>
            </w:r>
            <w:r w:rsidRPr="009425A5">
              <w:rPr>
                <w:rFonts w:ascii="仿宋_GB2312" w:hint="eastAsia"/>
                <w:sz w:val="24"/>
                <w:szCs w:val="24"/>
              </w:rPr>
              <w:t>支架范围内，支架顶梁前端至煤壁的距离为400-500mm，不符合《9701综采工作面作业规程》中“顶梁前端至煤壁端面距不得大于340mm”的规定；2.-250西翼皮带巷修复地点有一段长度约10m顶板破碎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超高段未安装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U型钢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棚加强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支护，不符合《-250西翼皮带巷修复安全技术措施》中“顶板破碎段采取安装U型钢棚加强支护”的规定。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《山东省安全生产条例》第七十六条第一 款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罚款人民币七万元整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3.9701运输顺槽与9703轨道顺槽联络巷交叉口跨度6m，巷道顶板安设的顶板离层观测仪深孔5.7m，不符合《煤矿巷道锚杆支护技术规范》（GB/T 25056-2018）6.5.1.3“巷道顶板围岩深部观测范围不小于巷道跨度的1.5倍”的规定；4.97、98采区回风巷的风速传感器未设置在测风站内，不符合《煤矿安全监控系统及检测仪器使用管理规范》（AQ1029-2019）7.2的规定；5.97采区单轨吊充电硐室未安设温度传感器，不符合《煤矿安全监控系统及检测仪器使用管理规范》（AQ1029-2019）7.7.3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罚款人民币五万元整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6.97采区为下山采区，未形成排水系统，目前布置1个采煤工作面和1个掘进工作面作业，不符合《煤矿安全规程》第九十五条第五款的规定。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《中华人民共和国安全生产法》第一百零二条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罚款人民币三万元整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7.9805轨道顺槽掘进工作面自2022年11月28日开始掘进，白庄煤矿12月5日上报的《掘进工作面基本情况表》（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日填周报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）报</w:t>
            </w: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告该掘进工作面12月1日开始掘进； 9701综采工作面2023年1月13日开始生产，</w:t>
            </w:r>
            <w:proofErr w:type="gramStart"/>
            <w:r w:rsidRPr="009425A5">
              <w:rPr>
                <w:rFonts w:ascii="仿宋_GB2312" w:hint="eastAsia"/>
                <w:sz w:val="24"/>
                <w:szCs w:val="24"/>
              </w:rPr>
              <w:t>至检查</w:t>
            </w:r>
            <w:proofErr w:type="gramEnd"/>
            <w:r w:rsidRPr="009425A5">
              <w:rPr>
                <w:rFonts w:ascii="仿宋_GB2312" w:hint="eastAsia"/>
                <w:sz w:val="24"/>
                <w:szCs w:val="24"/>
              </w:rPr>
              <w:t>时信息未录入国家矿山安全监察局矿山安全生产综合信息系统。矿井提供虚假情况，不符合《煤矿安全监察条例》第三十二条的规定。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《煤矿安全监察条</w:t>
            </w: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例》第四十五条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警告，罚款人民</w:t>
            </w:r>
            <w:r w:rsidRPr="009425A5">
              <w:rPr>
                <w:rFonts w:ascii="仿宋_GB2312" w:hint="eastAsia"/>
                <w:sz w:val="24"/>
                <w:szCs w:val="24"/>
              </w:rPr>
              <w:lastRenderedPageBreak/>
              <w:t>币十万元整</w:t>
            </w:r>
          </w:p>
        </w:tc>
      </w:tr>
      <w:tr w:rsidR="00480B08" w:rsidTr="00867D03">
        <w:tc>
          <w:tcPr>
            <w:tcW w:w="38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80B08" w:rsidRPr="009425A5" w:rsidRDefault="00480B08" w:rsidP="00867D03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8.1月16日至2月7日中班瓦斯检查工（张峰）对-250西翼皮带返修施工作业地点进行瓦斯巡检，未将检查结果通知现场工作人员，瓦斯检查手册没有班组长签字，不符合《煤矿安全规程》第一百八十条第一款第五项规定。</w:t>
            </w:r>
          </w:p>
        </w:tc>
        <w:tc>
          <w:tcPr>
            <w:tcW w:w="411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《煤矿安全监察行政处罚办法》第十四条</w:t>
            </w:r>
          </w:p>
        </w:tc>
        <w:tc>
          <w:tcPr>
            <w:tcW w:w="445" w:type="pct"/>
            <w:vAlign w:val="center"/>
          </w:tcPr>
          <w:p w:rsidR="00480B08" w:rsidRPr="009425A5" w:rsidRDefault="00480B08" w:rsidP="00867D03"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  <w:r w:rsidRPr="009425A5">
              <w:rPr>
                <w:rFonts w:ascii="仿宋_GB2312" w:hint="eastAsia"/>
                <w:sz w:val="24"/>
                <w:szCs w:val="24"/>
              </w:rPr>
              <w:t>罚款人民币二万元整</w:t>
            </w:r>
          </w:p>
        </w:tc>
      </w:tr>
    </w:tbl>
    <w:p w:rsidR="00480B08" w:rsidRDefault="00480B08" w:rsidP="00480B08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5743C9" w:rsidRDefault="005743C9"/>
    <w:sectPr w:rsidR="005743C9" w:rsidSect="009425A5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08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0B08"/>
    <w:rsid w:val="0048165C"/>
    <w:rsid w:val="00482DF9"/>
    <w:rsid w:val="00485850"/>
    <w:rsid w:val="00490286"/>
    <w:rsid w:val="00493D19"/>
    <w:rsid w:val="00497049"/>
    <w:rsid w:val="004A13D8"/>
    <w:rsid w:val="004A291C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D6C8A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21C6F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3B38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A0E3C"/>
    <w:rsid w:val="00DA1AAB"/>
    <w:rsid w:val="00DA2558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7D98"/>
    <w:rsid w:val="00F117C0"/>
    <w:rsid w:val="00F13F10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C3F4"/>
  <w15:chartTrackingRefBased/>
  <w15:docId w15:val="{FE3EE8B8-5EDD-4DB9-9820-30D9785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0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0B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1476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3</cp:revision>
  <dcterms:created xsi:type="dcterms:W3CDTF">2023-02-21T03:08:00Z</dcterms:created>
  <dcterms:modified xsi:type="dcterms:W3CDTF">2023-02-21T03:46:00Z</dcterms:modified>
</cp:coreProperties>
</file>