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560" w:lineRule="exact"/>
        <w:ind w:firstLine="0" w:firstLineChars="0"/>
        <w:rPr>
          <w:rFonts w:ascii="黑体" w:hAnsi="黑体" w:eastAsia="黑体" w:cs="仿宋_GB2312"/>
        </w:rPr>
      </w:pPr>
      <w:r>
        <w:rPr>
          <w:rFonts w:hint="eastAsia" w:ascii="黑体" w:hAnsi="黑体" w:eastAsia="黑体" w:cs="仿宋_GB2312"/>
          <w:lang w:val="en-US" w:eastAsia="zh-CN"/>
        </w:rPr>
        <w:t>附</w:t>
      </w:r>
      <w:r>
        <w:rPr>
          <w:rFonts w:hint="eastAsia" w:ascii="黑体" w:hAnsi="黑体" w:eastAsia="黑体" w:cs="仿宋_GB2312"/>
        </w:rPr>
        <w:t>件</w:t>
      </w:r>
    </w:p>
    <w:p>
      <w:pPr>
        <w:pStyle w:val="5"/>
        <w:spacing w:line="560" w:lineRule="exact"/>
        <w:ind w:firstLine="640"/>
        <w:rPr>
          <w:rFonts w:ascii="仿宋_GB2312" w:hAnsi="仿宋" w:cs="仿宋_GB2312"/>
        </w:rPr>
      </w:pPr>
      <w:r>
        <w:rPr>
          <w:rFonts w:hint="eastAsia" w:ascii="仿宋_GB2312" w:hAnsi="仿宋" w:cs="仿宋_GB2312"/>
        </w:rPr>
        <w:t xml:space="preserve">    </w:t>
      </w:r>
    </w:p>
    <w:p>
      <w:pPr>
        <w:pStyle w:val="5"/>
        <w:spacing w:line="560" w:lineRule="exact"/>
        <w:ind w:firstLine="0" w:firstLineChars="0"/>
        <w:jc w:val="center"/>
        <w:rPr>
          <w:rFonts w:ascii="方正小标宋简体" w:hAnsi="仿宋" w:eastAsia="方正小标宋简体" w:cs="仿宋_GB2312"/>
          <w:sz w:val="36"/>
          <w:szCs w:val="36"/>
        </w:rPr>
      </w:pPr>
      <w:bookmarkStart w:id="0" w:name="_GoBack"/>
      <w:r>
        <w:rPr>
          <w:rFonts w:hint="eastAsia" w:ascii="方正小标宋简体" w:hAnsi="仿宋" w:eastAsia="方正小标宋简体" w:cs="仿宋_GB2312"/>
          <w:sz w:val="36"/>
          <w:szCs w:val="36"/>
        </w:rPr>
        <w:t>监察执法一处2022年第2</w:t>
      </w:r>
      <w:r>
        <w:rPr>
          <w:rFonts w:ascii="方正小标宋简体" w:hAnsi="仿宋" w:eastAsia="方正小标宋简体" w:cs="仿宋_GB2312"/>
          <w:sz w:val="36"/>
          <w:szCs w:val="36"/>
        </w:rPr>
        <w:t>2</w:t>
      </w:r>
      <w:r>
        <w:rPr>
          <w:rFonts w:hint="eastAsia" w:ascii="方正小标宋简体" w:hAnsi="仿宋" w:eastAsia="方正小标宋简体" w:cs="仿宋_GB2312"/>
          <w:sz w:val="36"/>
          <w:szCs w:val="36"/>
        </w:rPr>
        <w:t>批行政处罚信息公开表</w:t>
      </w:r>
      <w:bookmarkEnd w:id="0"/>
    </w:p>
    <w:p>
      <w:pPr>
        <w:pStyle w:val="5"/>
        <w:spacing w:line="560" w:lineRule="exact"/>
        <w:ind w:firstLine="1267" w:firstLineChars="396"/>
        <w:rPr>
          <w:rFonts w:ascii="楷体" w:hAnsi="楷体" w:eastAsia="楷体"/>
        </w:rPr>
      </w:pPr>
    </w:p>
    <w:tbl>
      <w:tblPr>
        <w:tblStyle w:val="3"/>
        <w:tblW w:w="12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109"/>
        <w:gridCol w:w="1290"/>
        <w:gridCol w:w="12"/>
        <w:gridCol w:w="1249"/>
        <w:gridCol w:w="5668"/>
        <w:gridCol w:w="1232"/>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shd w:val="clear" w:color="auto" w:fill="auto"/>
            <w:vAlign w:val="center"/>
          </w:tcPr>
          <w:p>
            <w:pPr>
              <w:spacing w:line="560" w:lineRule="exact"/>
              <w:jc w:val="center"/>
              <w:rPr>
                <w:rFonts w:ascii="黑体" w:hAnsi="黑体" w:eastAsia="黑体"/>
                <w:b/>
                <w:sz w:val="24"/>
              </w:rPr>
            </w:pPr>
            <w:r>
              <w:rPr>
                <w:rFonts w:hint="eastAsia" w:ascii="黑体" w:hAnsi="黑体" w:eastAsia="黑体"/>
                <w:b/>
                <w:sz w:val="24"/>
              </w:rPr>
              <w:t>序号</w:t>
            </w:r>
          </w:p>
        </w:tc>
        <w:tc>
          <w:tcPr>
            <w:tcW w:w="1109" w:type="dxa"/>
            <w:shd w:val="clear" w:color="auto" w:fill="auto"/>
            <w:vAlign w:val="center"/>
          </w:tcPr>
          <w:p>
            <w:pPr>
              <w:spacing w:line="560" w:lineRule="exact"/>
              <w:jc w:val="center"/>
              <w:rPr>
                <w:rFonts w:ascii="黑体" w:hAnsi="黑体" w:eastAsia="黑体"/>
                <w:b/>
                <w:sz w:val="24"/>
              </w:rPr>
            </w:pPr>
            <w:r>
              <w:rPr>
                <w:rFonts w:hint="eastAsia" w:ascii="黑体" w:hAnsi="黑体" w:eastAsia="黑体"/>
                <w:b/>
                <w:sz w:val="24"/>
              </w:rPr>
              <w:t>执法决定日期</w:t>
            </w:r>
          </w:p>
        </w:tc>
        <w:tc>
          <w:tcPr>
            <w:tcW w:w="1302" w:type="dxa"/>
            <w:gridSpan w:val="2"/>
            <w:shd w:val="clear" w:color="auto" w:fill="auto"/>
            <w:vAlign w:val="center"/>
          </w:tcPr>
          <w:p>
            <w:pPr>
              <w:spacing w:line="560" w:lineRule="exact"/>
              <w:jc w:val="center"/>
              <w:rPr>
                <w:rFonts w:ascii="黑体" w:hAnsi="黑体" w:eastAsia="黑体"/>
                <w:b/>
                <w:sz w:val="24"/>
              </w:rPr>
            </w:pPr>
            <w:r>
              <w:rPr>
                <w:rFonts w:hint="eastAsia" w:ascii="黑体" w:hAnsi="黑体" w:eastAsia="黑体"/>
                <w:b/>
                <w:sz w:val="24"/>
              </w:rPr>
              <w:t>执法主体</w:t>
            </w:r>
          </w:p>
        </w:tc>
        <w:tc>
          <w:tcPr>
            <w:tcW w:w="1249" w:type="dxa"/>
            <w:shd w:val="clear" w:color="auto" w:fill="auto"/>
            <w:vAlign w:val="center"/>
          </w:tcPr>
          <w:p>
            <w:pPr>
              <w:spacing w:line="560" w:lineRule="exact"/>
              <w:jc w:val="center"/>
              <w:rPr>
                <w:rFonts w:ascii="黑体" w:hAnsi="黑体" w:eastAsia="黑体"/>
                <w:b/>
                <w:sz w:val="24"/>
              </w:rPr>
            </w:pPr>
            <w:r>
              <w:rPr>
                <w:rFonts w:hint="eastAsia" w:ascii="黑体" w:hAnsi="黑体" w:eastAsia="黑体"/>
                <w:b/>
                <w:sz w:val="24"/>
              </w:rPr>
              <w:t>执法对象</w:t>
            </w:r>
          </w:p>
        </w:tc>
        <w:tc>
          <w:tcPr>
            <w:tcW w:w="5668" w:type="dxa"/>
            <w:shd w:val="clear" w:color="auto" w:fill="auto"/>
            <w:vAlign w:val="center"/>
          </w:tcPr>
          <w:p>
            <w:pPr>
              <w:spacing w:line="560" w:lineRule="exact"/>
              <w:jc w:val="center"/>
              <w:rPr>
                <w:rFonts w:ascii="黑体" w:hAnsi="黑体" w:eastAsia="黑体"/>
                <w:b/>
                <w:sz w:val="24"/>
              </w:rPr>
            </w:pPr>
            <w:r>
              <w:rPr>
                <w:rFonts w:hint="eastAsia" w:ascii="黑体" w:hAnsi="黑体" w:eastAsia="黑体"/>
                <w:b/>
                <w:sz w:val="24"/>
              </w:rPr>
              <w:t>违法违规事实</w:t>
            </w:r>
          </w:p>
        </w:tc>
        <w:tc>
          <w:tcPr>
            <w:tcW w:w="1232" w:type="dxa"/>
            <w:shd w:val="clear" w:color="auto" w:fill="auto"/>
            <w:vAlign w:val="center"/>
          </w:tcPr>
          <w:p>
            <w:pPr>
              <w:spacing w:line="560" w:lineRule="exact"/>
              <w:jc w:val="center"/>
              <w:rPr>
                <w:rFonts w:ascii="黑体" w:hAnsi="黑体" w:eastAsia="黑体"/>
                <w:b/>
                <w:sz w:val="24"/>
              </w:rPr>
            </w:pPr>
            <w:r>
              <w:rPr>
                <w:rFonts w:hint="eastAsia" w:ascii="黑体" w:hAnsi="黑体" w:eastAsia="黑体"/>
                <w:b/>
                <w:sz w:val="24"/>
              </w:rPr>
              <w:t>处罚依据</w:t>
            </w:r>
          </w:p>
        </w:tc>
        <w:tc>
          <w:tcPr>
            <w:tcW w:w="1285" w:type="dxa"/>
            <w:shd w:val="clear" w:color="auto" w:fill="auto"/>
            <w:vAlign w:val="center"/>
          </w:tcPr>
          <w:p>
            <w:pPr>
              <w:spacing w:line="560" w:lineRule="exact"/>
              <w:jc w:val="center"/>
              <w:rPr>
                <w:rFonts w:ascii="黑体" w:hAnsi="黑体" w:eastAsia="黑体"/>
                <w:b/>
                <w:sz w:val="24"/>
              </w:rPr>
            </w:pPr>
            <w:r>
              <w:rPr>
                <w:rFonts w:hint="eastAsia" w:ascii="黑体" w:hAnsi="黑体" w:eastAsia="黑体"/>
                <w:b/>
                <w:sz w:val="24"/>
              </w:rPr>
              <w:t>处罚内容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shd w:val="clear" w:color="auto" w:fill="auto"/>
            <w:vAlign w:val="center"/>
          </w:tcPr>
          <w:p>
            <w:pPr>
              <w:adjustRightInd w:val="0"/>
              <w:snapToGrid w:val="0"/>
              <w:spacing w:line="560" w:lineRule="exact"/>
              <w:jc w:val="center"/>
              <w:rPr>
                <w:rFonts w:ascii="仿宋_GB2312" w:hAnsi="宋体"/>
                <w:sz w:val="24"/>
              </w:rPr>
            </w:pPr>
            <w:r>
              <w:rPr>
                <w:rFonts w:hint="eastAsia" w:ascii="仿宋_GB2312" w:hAnsi="宋体"/>
                <w:sz w:val="24"/>
              </w:rPr>
              <w:t>1</w:t>
            </w:r>
          </w:p>
        </w:tc>
        <w:tc>
          <w:tcPr>
            <w:tcW w:w="1109" w:type="dxa"/>
            <w:shd w:val="clear" w:color="auto" w:fill="auto"/>
            <w:vAlign w:val="center"/>
          </w:tcPr>
          <w:p>
            <w:pPr>
              <w:adjustRightInd w:val="0"/>
              <w:snapToGrid w:val="0"/>
              <w:spacing w:line="560" w:lineRule="exact"/>
              <w:rPr>
                <w:rFonts w:ascii="仿宋_GB2312" w:hAnsi="宋体"/>
                <w:sz w:val="24"/>
              </w:rPr>
            </w:pPr>
            <w:r>
              <w:rPr>
                <w:rFonts w:hint="eastAsia" w:ascii="仿宋_GB2312" w:hAnsi="宋体"/>
                <w:sz w:val="24"/>
              </w:rPr>
              <w:t>2022年12月21日</w:t>
            </w:r>
          </w:p>
        </w:tc>
        <w:tc>
          <w:tcPr>
            <w:tcW w:w="1302" w:type="dxa"/>
            <w:gridSpan w:val="2"/>
            <w:shd w:val="clear" w:color="auto" w:fill="auto"/>
            <w:vAlign w:val="center"/>
          </w:tcPr>
          <w:p>
            <w:pPr>
              <w:adjustRightInd w:val="0"/>
              <w:snapToGrid w:val="0"/>
              <w:spacing w:line="560" w:lineRule="exact"/>
              <w:rPr>
                <w:rFonts w:ascii="仿宋_GB2312" w:hAnsi="宋体"/>
                <w:sz w:val="24"/>
              </w:rPr>
            </w:pPr>
            <w:r>
              <w:rPr>
                <w:rFonts w:ascii="仿宋_GB2312" w:hAnsi="宋体"/>
                <w:sz w:val="24"/>
              </w:rPr>
              <w:t>国家矿山安全监察局山东局</w:t>
            </w:r>
          </w:p>
        </w:tc>
        <w:tc>
          <w:tcPr>
            <w:tcW w:w="1249" w:type="dxa"/>
            <w:shd w:val="clear" w:color="auto" w:fill="auto"/>
            <w:vAlign w:val="center"/>
          </w:tcPr>
          <w:p>
            <w:pPr>
              <w:adjustRightInd w:val="0"/>
              <w:snapToGrid w:val="0"/>
              <w:spacing w:line="560" w:lineRule="exact"/>
              <w:rPr>
                <w:rFonts w:ascii="仿宋_GB2312" w:hAnsi="宋体"/>
                <w:sz w:val="24"/>
              </w:rPr>
            </w:pPr>
            <w:r>
              <w:rPr>
                <w:rFonts w:hint="eastAsia" w:ascii="仿宋_GB2312" w:hAnsi="宋体"/>
                <w:sz w:val="24"/>
              </w:rPr>
              <w:t>单县丰源实业有限公司</w:t>
            </w:r>
          </w:p>
        </w:tc>
        <w:tc>
          <w:tcPr>
            <w:tcW w:w="5668" w:type="dxa"/>
            <w:shd w:val="clear" w:color="auto" w:fill="auto"/>
            <w:vAlign w:val="center"/>
          </w:tcPr>
          <w:p>
            <w:pPr>
              <w:adjustRightInd w:val="0"/>
              <w:snapToGrid w:val="0"/>
              <w:spacing w:line="560" w:lineRule="exact"/>
              <w:jc w:val="left"/>
              <w:rPr>
                <w:rFonts w:ascii="仿宋" w:hAnsi="仿宋" w:eastAsia="仿宋"/>
                <w:sz w:val="24"/>
              </w:rPr>
            </w:pPr>
            <w:r>
              <w:rPr>
                <w:rFonts w:ascii="仿宋" w:hAnsi="仿宋" w:eastAsia="仿宋"/>
                <w:sz w:val="24"/>
              </w:rPr>
              <w:t>1.</w:t>
            </w:r>
            <w:r>
              <w:rPr>
                <w:rFonts w:hint="eastAsia" w:ascii="仿宋" w:hAnsi="仿宋" w:eastAsia="仿宋"/>
                <w:sz w:val="24"/>
              </w:rPr>
              <w:t>1301（外）综放工作面第88#、65#、44#液压支架供液高压管路联接U型卡未外露，不符合《1301（外）综放工作面作业规程》中“联接U型卡应安设到位，外露出阀体3-5mm，确保安全可靠”的规定。</w:t>
            </w:r>
          </w:p>
          <w:p>
            <w:pPr>
              <w:adjustRightInd w:val="0"/>
              <w:snapToGrid w:val="0"/>
              <w:spacing w:line="560" w:lineRule="exact"/>
              <w:jc w:val="left"/>
              <w:rPr>
                <w:rFonts w:ascii="仿宋_GB2312" w:hAnsi="宋体"/>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1301（外）综放工作面煤壁前方走向长度40米范围内，地质条件发生变化煤层厚度超过8米，两顺槽预卸压钻孔深度20米，未根据煤层厚度变化及时调整卸压孔深度，不符合《冲击地压测定、监测与防治方法 第10部分：煤层钻孔卸压防治方法》（GB/T 25217.10-2019）4.2.C项的规定。</w:t>
            </w:r>
          </w:p>
        </w:tc>
        <w:tc>
          <w:tcPr>
            <w:tcW w:w="1232" w:type="dxa"/>
            <w:shd w:val="clear" w:color="auto" w:fill="auto"/>
            <w:vAlign w:val="center"/>
          </w:tcPr>
          <w:p>
            <w:pPr>
              <w:adjustRightInd w:val="0"/>
              <w:snapToGrid w:val="0"/>
              <w:spacing w:line="560" w:lineRule="exact"/>
              <w:jc w:val="left"/>
              <w:rPr>
                <w:rFonts w:ascii="仿宋_GB2312" w:hAnsi="宋体"/>
                <w:sz w:val="24"/>
              </w:rPr>
            </w:pPr>
            <w:r>
              <w:rPr>
                <w:rFonts w:hint="eastAsia" w:ascii="仿宋" w:hAnsi="仿宋" w:eastAsia="仿宋"/>
                <w:sz w:val="24"/>
              </w:rPr>
              <w:t>《中华人民共和国安全生产法》第一百零二条</w:t>
            </w:r>
          </w:p>
        </w:tc>
        <w:tc>
          <w:tcPr>
            <w:tcW w:w="1285" w:type="dxa"/>
            <w:shd w:val="clear" w:color="auto" w:fill="auto"/>
            <w:vAlign w:val="center"/>
          </w:tcPr>
          <w:p>
            <w:pPr>
              <w:adjustRightInd w:val="0"/>
              <w:snapToGrid w:val="0"/>
              <w:spacing w:line="560" w:lineRule="exact"/>
              <w:rPr>
                <w:rFonts w:ascii="仿宋_GB2312" w:hAnsi="宋体"/>
                <w:sz w:val="24"/>
              </w:rPr>
            </w:pPr>
            <w:r>
              <w:rPr>
                <w:rFonts w:hint="eastAsia" w:ascii="仿宋_GB2312" w:hAnsi="宋体"/>
                <w:sz w:val="24"/>
              </w:rPr>
              <w:t>罚款人民币贰万元整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shd w:val="clear" w:color="auto" w:fill="auto"/>
            <w:vAlign w:val="center"/>
          </w:tcPr>
          <w:p>
            <w:pPr>
              <w:adjustRightInd w:val="0"/>
              <w:snapToGrid w:val="0"/>
              <w:spacing w:line="560" w:lineRule="exact"/>
              <w:jc w:val="center"/>
              <w:rPr>
                <w:rFonts w:ascii="仿宋" w:hAnsi="仿宋" w:eastAsia="仿宋"/>
                <w:sz w:val="24"/>
              </w:rPr>
            </w:pPr>
            <w:r>
              <w:rPr>
                <w:rFonts w:hint="eastAsia" w:ascii="仿宋" w:hAnsi="仿宋" w:eastAsia="仿宋"/>
                <w:sz w:val="24"/>
              </w:rPr>
              <w:t>2</w:t>
            </w:r>
          </w:p>
        </w:tc>
        <w:tc>
          <w:tcPr>
            <w:tcW w:w="1109" w:type="dxa"/>
            <w:shd w:val="clear" w:color="auto" w:fill="auto"/>
            <w:vAlign w:val="center"/>
          </w:tcPr>
          <w:p>
            <w:pPr>
              <w:adjustRightInd w:val="0"/>
              <w:snapToGrid w:val="0"/>
              <w:spacing w:line="560" w:lineRule="exact"/>
              <w:rPr>
                <w:rFonts w:ascii="仿宋_GB2312" w:hAnsi="宋体"/>
                <w:sz w:val="24"/>
              </w:rPr>
            </w:pPr>
            <w:r>
              <w:rPr>
                <w:rFonts w:hint="eastAsia" w:ascii="仿宋_GB2312" w:hAnsi="宋体"/>
                <w:sz w:val="24"/>
              </w:rPr>
              <w:t>2022年12月21日</w:t>
            </w:r>
          </w:p>
        </w:tc>
        <w:tc>
          <w:tcPr>
            <w:tcW w:w="1302" w:type="dxa"/>
            <w:gridSpan w:val="2"/>
            <w:shd w:val="clear" w:color="auto" w:fill="auto"/>
            <w:vAlign w:val="center"/>
          </w:tcPr>
          <w:p>
            <w:pPr>
              <w:adjustRightInd w:val="0"/>
              <w:snapToGrid w:val="0"/>
              <w:spacing w:line="560" w:lineRule="exact"/>
              <w:rPr>
                <w:rFonts w:ascii="仿宋_GB2312" w:hAnsi="宋体"/>
                <w:sz w:val="24"/>
              </w:rPr>
            </w:pPr>
            <w:r>
              <w:rPr>
                <w:rFonts w:ascii="仿宋_GB2312" w:hAnsi="宋体"/>
                <w:sz w:val="24"/>
              </w:rPr>
              <w:t>国家矿山安全监察局山东局</w:t>
            </w:r>
          </w:p>
        </w:tc>
        <w:tc>
          <w:tcPr>
            <w:tcW w:w="1249" w:type="dxa"/>
            <w:shd w:val="clear" w:color="auto" w:fill="auto"/>
            <w:vAlign w:val="center"/>
          </w:tcPr>
          <w:p>
            <w:pPr>
              <w:adjustRightInd w:val="0"/>
              <w:snapToGrid w:val="0"/>
              <w:spacing w:line="560" w:lineRule="exact"/>
              <w:rPr>
                <w:rFonts w:ascii="仿宋_GB2312" w:hAnsi="宋体"/>
                <w:sz w:val="24"/>
              </w:rPr>
            </w:pPr>
            <w:r>
              <w:rPr>
                <w:rFonts w:hint="eastAsia" w:ascii="仿宋_GB2312" w:hAnsi="宋体"/>
                <w:sz w:val="24"/>
              </w:rPr>
              <w:t>单县丰源实业有限公司</w:t>
            </w:r>
          </w:p>
        </w:tc>
        <w:tc>
          <w:tcPr>
            <w:tcW w:w="5668" w:type="dxa"/>
            <w:shd w:val="clear" w:color="auto" w:fill="auto"/>
            <w:vAlign w:val="center"/>
          </w:tcPr>
          <w:p>
            <w:pPr>
              <w:adjustRightInd w:val="0"/>
              <w:snapToGrid w:val="0"/>
              <w:spacing w:line="560" w:lineRule="exact"/>
              <w:jc w:val="left"/>
              <w:rPr>
                <w:rFonts w:ascii="仿宋" w:hAnsi="仿宋" w:eastAsia="仿宋"/>
                <w:sz w:val="24"/>
              </w:rPr>
            </w:pPr>
            <w:r>
              <w:rPr>
                <w:rFonts w:ascii="仿宋" w:hAnsi="仿宋" w:eastAsia="仿宋"/>
                <w:sz w:val="24"/>
              </w:rPr>
              <w:t>1.</w:t>
            </w:r>
            <w:r>
              <w:rPr>
                <w:rFonts w:hint="eastAsia" w:ascii="仿宋" w:hAnsi="仿宋" w:eastAsia="仿宋"/>
                <w:sz w:val="24"/>
              </w:rPr>
              <w:t>1301（外）综放工作面上端头第104#、103#、102#液压支架初撑力分别为20.5MPa、15MPa、19MPa，均小于24MPa；轨道顺槽超前煤壁8米上帮侧使用单体液压支柱支护，不符合《1301（外）综放工作面作业规程》“液压支架初撑力不低于24MPa;超前支护必须使用两排液压支架进行支护”的规定。</w:t>
            </w:r>
          </w:p>
          <w:p>
            <w:pPr>
              <w:adjustRightInd w:val="0"/>
              <w:snapToGrid w:val="0"/>
              <w:spacing w:line="560" w:lineRule="exact"/>
              <w:jc w:val="left"/>
              <w:rPr>
                <w:rFonts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1308轨道顺槽掘进工作面迎头永久支护最小空顶距为500-800mm，5根底角锚杆施工角度近乎垂直于巷帮，不符合《1308轨道顺槽掘进工作面作业规程》中“永久支护最小空顶距不得大于300mm、底脚锚杆施工角度为30°”的规定。</w:t>
            </w:r>
          </w:p>
          <w:p>
            <w:pPr>
              <w:adjustRightInd w:val="0"/>
              <w:snapToGrid w:val="0"/>
              <w:spacing w:line="560" w:lineRule="exact"/>
              <w:jc w:val="left"/>
              <w:rPr>
                <w:rFonts w:ascii="仿宋" w:hAnsi="仿宋" w:eastAsia="仿宋"/>
                <w:sz w:val="24"/>
              </w:rPr>
            </w:pPr>
            <w:r>
              <w:rPr>
                <w:rFonts w:hint="eastAsia" w:ascii="仿宋" w:hAnsi="仿宋" w:eastAsia="仿宋"/>
                <w:sz w:val="24"/>
              </w:rPr>
              <w:t>3</w:t>
            </w:r>
            <w:r>
              <w:rPr>
                <w:rFonts w:ascii="仿宋" w:hAnsi="仿宋" w:eastAsia="仿宋"/>
                <w:sz w:val="24"/>
              </w:rPr>
              <w:t>.</w:t>
            </w:r>
            <w:r>
              <w:rPr>
                <w:rFonts w:hint="eastAsia" w:ascii="仿宋" w:hAnsi="仿宋" w:eastAsia="仿宋"/>
                <w:sz w:val="24"/>
              </w:rPr>
              <w:t>现场检查时发现3名工人运输炸药时炸药装在编织袋里，不符合《煤矿安全规程》三百四十二条第二项的规定，胶带暗斜井架空装置运送人员时，同时运送携带爆炸物品的人员，不符合《煤矿安全规程》第三百八十三条第十项规定。</w:t>
            </w:r>
          </w:p>
          <w:p>
            <w:pPr>
              <w:adjustRightInd w:val="0"/>
              <w:snapToGrid w:val="0"/>
              <w:spacing w:line="560" w:lineRule="exact"/>
              <w:jc w:val="left"/>
              <w:rPr>
                <w:rFonts w:ascii="仿宋_GB2312" w:hAnsi="宋体"/>
                <w:sz w:val="24"/>
              </w:rPr>
            </w:pPr>
            <w:r>
              <w:rPr>
                <w:rFonts w:hint="eastAsia" w:ascii="仿宋" w:hAnsi="仿宋" w:eastAsia="仿宋"/>
                <w:sz w:val="24"/>
              </w:rPr>
              <w:t>4</w:t>
            </w:r>
            <w:r>
              <w:rPr>
                <w:rFonts w:ascii="仿宋" w:hAnsi="仿宋" w:eastAsia="仿宋"/>
                <w:sz w:val="24"/>
              </w:rPr>
              <w:t>.</w:t>
            </w:r>
            <w:r>
              <w:rPr>
                <w:rFonts w:hint="eastAsia" w:ascii="仿宋" w:hAnsi="仿宋" w:eastAsia="仿宋"/>
                <w:sz w:val="24"/>
              </w:rPr>
              <w:t>现场检查时发现一名工人在乘坐胶带暗斜井架空乘人装置时侧向乘坐，且携带超1.2m工具，不符合《单县丰源胶带暗斜井架空乘人装置乘坐管理规定》中“乘坐时跨坐在吊椅上，且不得携带超过1.2m工具”的规定。</w:t>
            </w:r>
          </w:p>
        </w:tc>
        <w:tc>
          <w:tcPr>
            <w:tcW w:w="1232" w:type="dxa"/>
            <w:shd w:val="clear" w:color="auto" w:fill="auto"/>
            <w:vAlign w:val="center"/>
          </w:tcPr>
          <w:p>
            <w:pPr>
              <w:adjustRightInd w:val="0"/>
              <w:snapToGrid w:val="0"/>
              <w:spacing w:line="560" w:lineRule="exact"/>
              <w:rPr>
                <w:rFonts w:ascii="仿宋" w:hAnsi="仿宋" w:eastAsia="仿宋"/>
                <w:sz w:val="24"/>
              </w:rPr>
            </w:pPr>
            <w:r>
              <w:rPr>
                <w:rFonts w:hint="eastAsia" w:ascii="仿宋_GB2312" w:hAnsi="宋体"/>
                <w:sz w:val="24"/>
              </w:rPr>
              <w:t>《山东省安全生产条例》第七十六条第一款</w:t>
            </w:r>
          </w:p>
        </w:tc>
        <w:tc>
          <w:tcPr>
            <w:tcW w:w="1285" w:type="dxa"/>
            <w:shd w:val="clear" w:color="auto" w:fill="auto"/>
            <w:vAlign w:val="center"/>
          </w:tcPr>
          <w:p>
            <w:pPr>
              <w:adjustRightInd w:val="0"/>
              <w:snapToGrid w:val="0"/>
              <w:spacing w:line="560" w:lineRule="exact"/>
              <w:rPr>
                <w:rFonts w:ascii="仿宋_GB2312" w:hAnsi="宋体"/>
                <w:sz w:val="24"/>
              </w:rPr>
            </w:pPr>
            <w:r>
              <w:rPr>
                <w:rFonts w:hint="eastAsia" w:ascii="仿宋_GB2312" w:hAnsi="宋体"/>
                <w:sz w:val="24"/>
              </w:rPr>
              <w:t>罚款人民币陆万元整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shd w:val="clear" w:color="auto" w:fill="auto"/>
            <w:vAlign w:val="center"/>
          </w:tcPr>
          <w:p>
            <w:pPr>
              <w:adjustRightInd w:val="0"/>
              <w:snapToGrid w:val="0"/>
              <w:spacing w:line="560" w:lineRule="exact"/>
              <w:jc w:val="center"/>
              <w:rPr>
                <w:rFonts w:ascii="仿宋_GB2312"/>
                <w:sz w:val="24"/>
              </w:rPr>
            </w:pPr>
            <w:r>
              <w:rPr>
                <w:rFonts w:hint="eastAsia" w:ascii="仿宋_GB2312"/>
                <w:sz w:val="24"/>
              </w:rPr>
              <w:t>3</w:t>
            </w:r>
          </w:p>
        </w:tc>
        <w:tc>
          <w:tcPr>
            <w:tcW w:w="1109" w:type="dxa"/>
            <w:shd w:val="clear" w:color="auto" w:fill="auto"/>
            <w:vAlign w:val="center"/>
          </w:tcPr>
          <w:p>
            <w:pPr>
              <w:adjustRightInd w:val="0"/>
              <w:snapToGrid w:val="0"/>
              <w:spacing w:line="560" w:lineRule="exact"/>
              <w:rPr>
                <w:rFonts w:ascii="仿宋_GB2312" w:hAnsi="宋体"/>
                <w:sz w:val="24"/>
              </w:rPr>
            </w:pPr>
            <w:r>
              <w:rPr>
                <w:rFonts w:hint="eastAsia" w:ascii="仿宋_GB2312" w:hAnsi="宋体"/>
                <w:sz w:val="24"/>
              </w:rPr>
              <w:t>2022年12月21日</w:t>
            </w:r>
          </w:p>
        </w:tc>
        <w:tc>
          <w:tcPr>
            <w:tcW w:w="1302" w:type="dxa"/>
            <w:gridSpan w:val="2"/>
            <w:shd w:val="clear" w:color="auto" w:fill="auto"/>
            <w:vAlign w:val="center"/>
          </w:tcPr>
          <w:p>
            <w:pPr>
              <w:adjustRightInd w:val="0"/>
              <w:snapToGrid w:val="0"/>
              <w:spacing w:line="560" w:lineRule="exact"/>
              <w:rPr>
                <w:rFonts w:ascii="仿宋_GB2312" w:hAnsi="宋体"/>
                <w:sz w:val="24"/>
              </w:rPr>
            </w:pPr>
            <w:r>
              <w:rPr>
                <w:rFonts w:ascii="仿宋_GB2312" w:hAnsi="宋体"/>
                <w:sz w:val="24"/>
              </w:rPr>
              <w:t>国家矿山安全监察局山东局</w:t>
            </w:r>
          </w:p>
        </w:tc>
        <w:tc>
          <w:tcPr>
            <w:tcW w:w="1249" w:type="dxa"/>
            <w:shd w:val="clear" w:color="auto" w:fill="auto"/>
            <w:vAlign w:val="center"/>
          </w:tcPr>
          <w:p>
            <w:pPr>
              <w:adjustRightInd w:val="0"/>
              <w:snapToGrid w:val="0"/>
              <w:spacing w:line="560" w:lineRule="exact"/>
              <w:rPr>
                <w:rFonts w:ascii="仿宋_GB2312" w:hAnsi="宋体"/>
                <w:sz w:val="24"/>
              </w:rPr>
            </w:pPr>
            <w:r>
              <w:rPr>
                <w:rFonts w:hint="eastAsia" w:ascii="仿宋_GB2312" w:hAnsi="宋体"/>
                <w:sz w:val="24"/>
              </w:rPr>
              <w:t>单县丰源实业有限公司</w:t>
            </w:r>
          </w:p>
        </w:tc>
        <w:tc>
          <w:tcPr>
            <w:tcW w:w="5668" w:type="dxa"/>
            <w:shd w:val="clear" w:color="auto" w:fill="auto"/>
            <w:vAlign w:val="center"/>
          </w:tcPr>
          <w:p>
            <w:pPr>
              <w:adjustRightInd w:val="0"/>
              <w:snapToGrid w:val="0"/>
              <w:spacing w:line="560" w:lineRule="exact"/>
              <w:rPr>
                <w:rFonts w:ascii="仿宋_GB2312" w:hAnsi="宋体"/>
                <w:sz w:val="24"/>
              </w:rPr>
            </w:pPr>
            <w:r>
              <w:rPr>
                <w:rFonts w:hint="eastAsia" w:ascii="仿宋" w:hAnsi="仿宋" w:eastAsia="仿宋"/>
                <w:sz w:val="24"/>
              </w:rPr>
              <w:t xml:space="preserve">1309轨道顺槽长约10m巷道底板煤尘厚度超过10mm，未及时清理，不符合《煤矿安全规程》第一百八十六条第二款的规定。 </w:t>
            </w:r>
            <w:r>
              <w:rPr>
                <w:rFonts w:ascii="仿宋_GB2312" w:hAnsi="宋体"/>
                <w:sz w:val="24"/>
              </w:rPr>
              <w:t xml:space="preserve"> </w:t>
            </w:r>
          </w:p>
        </w:tc>
        <w:tc>
          <w:tcPr>
            <w:tcW w:w="1232" w:type="dxa"/>
            <w:shd w:val="clear" w:color="auto" w:fill="auto"/>
          </w:tcPr>
          <w:p>
            <w:pPr>
              <w:adjustRightInd w:val="0"/>
              <w:snapToGrid w:val="0"/>
              <w:spacing w:line="560" w:lineRule="exact"/>
              <w:rPr>
                <w:rFonts w:ascii="仿宋_GB2312" w:hAnsi="宋体"/>
                <w:sz w:val="24"/>
              </w:rPr>
            </w:pPr>
            <w:r>
              <w:rPr>
                <w:rFonts w:hint="eastAsia" w:ascii="仿宋" w:hAnsi="仿宋" w:eastAsia="仿宋"/>
                <w:sz w:val="24"/>
              </w:rPr>
              <w:t>《中华人民共和国矿山安全法实施条例》第五十四条</w:t>
            </w:r>
          </w:p>
        </w:tc>
        <w:tc>
          <w:tcPr>
            <w:tcW w:w="1285" w:type="dxa"/>
            <w:shd w:val="clear" w:color="auto" w:fill="auto"/>
            <w:vAlign w:val="center"/>
          </w:tcPr>
          <w:p>
            <w:pPr>
              <w:adjustRightInd w:val="0"/>
              <w:snapToGrid w:val="0"/>
              <w:spacing w:line="560" w:lineRule="exact"/>
              <w:rPr>
                <w:rFonts w:ascii="仿宋_GB2312" w:hAnsi="宋体"/>
                <w:sz w:val="24"/>
              </w:rPr>
            </w:pPr>
            <w:r>
              <w:rPr>
                <w:rFonts w:hint="eastAsia" w:ascii="仿宋_GB2312" w:hAnsi="宋体"/>
                <w:sz w:val="24"/>
              </w:rPr>
              <w:t>罚款人民币壹万元整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jc w:val="center"/>
        </w:trPr>
        <w:tc>
          <w:tcPr>
            <w:tcW w:w="700" w:type="dxa"/>
            <w:vAlign w:val="center"/>
          </w:tcPr>
          <w:p>
            <w:pPr>
              <w:adjustRightInd w:val="0"/>
              <w:snapToGrid w:val="0"/>
              <w:spacing w:line="560" w:lineRule="exact"/>
              <w:jc w:val="center"/>
              <w:rPr>
                <w:rFonts w:ascii="仿宋_GB2312"/>
                <w:sz w:val="24"/>
              </w:rPr>
            </w:pPr>
            <w:r>
              <w:rPr>
                <w:rFonts w:hint="eastAsia" w:ascii="仿宋_GB2312"/>
                <w:sz w:val="24"/>
              </w:rPr>
              <w:t>4</w:t>
            </w:r>
          </w:p>
        </w:tc>
        <w:tc>
          <w:tcPr>
            <w:tcW w:w="1109" w:type="dxa"/>
            <w:shd w:val="clear" w:color="auto" w:fill="auto"/>
            <w:vAlign w:val="center"/>
          </w:tcPr>
          <w:p>
            <w:pPr>
              <w:adjustRightInd w:val="0"/>
              <w:snapToGrid w:val="0"/>
              <w:spacing w:line="560" w:lineRule="exact"/>
              <w:rPr>
                <w:rFonts w:ascii="仿宋_GB2312" w:hAnsi="宋体"/>
                <w:sz w:val="24"/>
              </w:rPr>
            </w:pPr>
            <w:r>
              <w:rPr>
                <w:rFonts w:hint="eastAsia" w:ascii="仿宋_GB2312" w:hAnsi="宋体"/>
                <w:sz w:val="24"/>
              </w:rPr>
              <w:t>2022年12月21日</w:t>
            </w:r>
          </w:p>
        </w:tc>
        <w:tc>
          <w:tcPr>
            <w:tcW w:w="1290" w:type="dxa"/>
            <w:shd w:val="clear" w:color="auto" w:fill="auto"/>
            <w:vAlign w:val="center"/>
          </w:tcPr>
          <w:p>
            <w:pPr>
              <w:adjustRightInd w:val="0"/>
              <w:snapToGrid w:val="0"/>
              <w:spacing w:line="560" w:lineRule="exact"/>
              <w:rPr>
                <w:rFonts w:ascii="仿宋_GB2312" w:hAnsi="宋体"/>
                <w:sz w:val="24"/>
              </w:rPr>
            </w:pPr>
            <w:r>
              <w:rPr>
                <w:rFonts w:ascii="仿宋_GB2312" w:hAnsi="宋体"/>
                <w:sz w:val="24"/>
              </w:rPr>
              <w:t>国家矿山安全监察局山东局</w:t>
            </w:r>
          </w:p>
        </w:tc>
        <w:tc>
          <w:tcPr>
            <w:tcW w:w="1261" w:type="dxa"/>
            <w:gridSpan w:val="2"/>
            <w:shd w:val="clear" w:color="auto" w:fill="auto"/>
            <w:vAlign w:val="center"/>
          </w:tcPr>
          <w:p>
            <w:pPr>
              <w:adjustRightInd w:val="0"/>
              <w:snapToGrid w:val="0"/>
              <w:spacing w:line="560" w:lineRule="exact"/>
              <w:rPr>
                <w:rFonts w:ascii="仿宋_GB2312" w:hAnsi="宋体"/>
                <w:sz w:val="24"/>
              </w:rPr>
            </w:pPr>
            <w:r>
              <w:rPr>
                <w:rFonts w:hint="eastAsia" w:ascii="仿宋_GB2312" w:hAnsi="宋体"/>
                <w:sz w:val="24"/>
              </w:rPr>
              <w:t>临沂矿业集团菏泽煤电有限公司郭屯煤矿</w:t>
            </w:r>
          </w:p>
        </w:tc>
        <w:tc>
          <w:tcPr>
            <w:tcW w:w="5668" w:type="dxa"/>
            <w:shd w:val="clear" w:color="auto" w:fill="auto"/>
            <w:vAlign w:val="center"/>
          </w:tcPr>
          <w:p>
            <w:pPr>
              <w:adjustRightInd w:val="0"/>
              <w:snapToGrid w:val="0"/>
              <w:spacing w:line="560" w:lineRule="exact"/>
              <w:rPr>
                <w:rFonts w:ascii="仿宋_GB2312" w:hAnsi="宋体"/>
                <w:sz w:val="24"/>
              </w:rPr>
            </w:pPr>
            <w:r>
              <w:rPr>
                <w:rFonts w:hint="eastAsia" w:ascii="仿宋_GB2312" w:hAnsi="宋体"/>
                <w:sz w:val="24"/>
              </w:rPr>
              <w:t xml:space="preserve"> 1.2306工作面90#、78#架抬底油缸损坏，78#架推移液压千斤顶损坏，91#架左立柱漏液；43#、61#架压力表损坏，矿井未及时维修，不符合《煤矿安全规程》第四条第五款的规定。</w:t>
            </w:r>
          </w:p>
          <w:p>
            <w:pPr>
              <w:adjustRightInd w:val="0"/>
              <w:snapToGrid w:val="0"/>
              <w:spacing w:line="560" w:lineRule="exact"/>
              <w:rPr>
                <w:rFonts w:ascii="仿宋_GB2312" w:hAnsi="宋体"/>
                <w:sz w:val="24"/>
              </w:rPr>
            </w:pPr>
            <w:r>
              <w:rPr>
                <w:rFonts w:hint="eastAsia" w:ascii="仿宋_GB2312" w:hAnsi="宋体"/>
                <w:sz w:val="24"/>
              </w:rPr>
              <w:t>2</w:t>
            </w:r>
            <w:r>
              <w:rPr>
                <w:rFonts w:ascii="仿宋_GB2312" w:hAnsi="宋体"/>
                <w:sz w:val="24"/>
              </w:rPr>
              <w:t>.</w:t>
            </w:r>
            <w:r>
              <w:rPr>
                <w:rFonts w:hint="eastAsia" w:ascii="仿宋_GB2312" w:hAnsi="宋体"/>
                <w:sz w:val="24"/>
              </w:rPr>
              <w:t>2303工作面第35#液压支架压力表不显示数据，经查为压力传感器故障导致，不符合《2303综放工作面作业规程》中“专职操作维护人员每天下井后，要检查系统通信、传感器是否有故障、支架控制器和驱动器是否正常、电液换向阀组是否正常”的规定。</w:t>
            </w:r>
          </w:p>
          <w:p>
            <w:pPr>
              <w:adjustRightInd w:val="0"/>
              <w:snapToGrid w:val="0"/>
              <w:spacing w:line="560" w:lineRule="exact"/>
              <w:rPr>
                <w:rFonts w:ascii="仿宋_GB2312" w:hAnsi="宋体"/>
                <w:sz w:val="24"/>
              </w:rPr>
            </w:pPr>
            <w:r>
              <w:rPr>
                <w:rFonts w:hint="eastAsia" w:ascii="仿宋_GB2312" w:hAnsi="宋体"/>
                <w:sz w:val="24"/>
              </w:rPr>
              <w:t>3</w:t>
            </w:r>
            <w:r>
              <w:rPr>
                <w:rFonts w:ascii="仿宋_GB2312" w:hAnsi="宋体"/>
                <w:sz w:val="24"/>
              </w:rPr>
              <w:t>.</w:t>
            </w:r>
            <w:r>
              <w:rPr>
                <w:rFonts w:hint="eastAsia" w:ascii="仿宋_GB2312" w:hAnsi="宋体"/>
                <w:sz w:val="24"/>
              </w:rPr>
              <w:t>2303工作面96#液压支架表显示后立柱压力60MPa，超过安全阀开启压力值（46MPa）后，安全阀未开启，未能及时泄压，不符合《2303综放工作面作业规程》中“工作面内支架安全阀超过额定开启压力46MPa应开启”的规定。</w:t>
            </w:r>
          </w:p>
        </w:tc>
        <w:tc>
          <w:tcPr>
            <w:tcW w:w="1232" w:type="dxa"/>
            <w:shd w:val="clear" w:color="auto" w:fill="auto"/>
            <w:vAlign w:val="center"/>
          </w:tcPr>
          <w:p>
            <w:pPr>
              <w:adjustRightInd w:val="0"/>
              <w:snapToGrid w:val="0"/>
              <w:spacing w:line="560" w:lineRule="exact"/>
              <w:rPr>
                <w:rFonts w:ascii="仿宋_GB2312" w:hAnsi="宋体"/>
                <w:sz w:val="24"/>
              </w:rPr>
            </w:pPr>
            <w:r>
              <w:rPr>
                <w:rFonts w:hint="eastAsia" w:ascii="仿宋_GB2312" w:hAnsi="宋体"/>
                <w:sz w:val="24"/>
              </w:rPr>
              <w:t>《煤矿安全监察行政处罚办法》第十二条第一项</w:t>
            </w:r>
          </w:p>
        </w:tc>
        <w:tc>
          <w:tcPr>
            <w:tcW w:w="1285" w:type="dxa"/>
            <w:shd w:val="clear" w:color="auto" w:fill="auto"/>
            <w:vAlign w:val="center"/>
          </w:tcPr>
          <w:p>
            <w:pPr>
              <w:adjustRightInd w:val="0"/>
              <w:snapToGrid w:val="0"/>
              <w:spacing w:line="560" w:lineRule="exact"/>
              <w:rPr>
                <w:rFonts w:ascii="仿宋_GB2312" w:hAnsi="宋体"/>
                <w:sz w:val="24"/>
              </w:rPr>
            </w:pPr>
            <w:r>
              <w:rPr>
                <w:rFonts w:hint="eastAsia" w:ascii="仿宋_GB2312" w:hAnsi="宋体"/>
                <w:sz w:val="24"/>
              </w:rPr>
              <w:t>罚款人民币贰万元整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700" w:type="dxa"/>
            <w:vAlign w:val="center"/>
          </w:tcPr>
          <w:p>
            <w:pPr>
              <w:adjustRightInd w:val="0"/>
              <w:snapToGrid w:val="0"/>
              <w:spacing w:line="560" w:lineRule="exact"/>
              <w:jc w:val="center"/>
              <w:rPr>
                <w:rFonts w:ascii="仿宋_GB2312"/>
                <w:sz w:val="24"/>
              </w:rPr>
            </w:pPr>
            <w:r>
              <w:rPr>
                <w:rFonts w:hint="eastAsia" w:ascii="仿宋_GB2312"/>
                <w:sz w:val="24"/>
              </w:rPr>
              <w:t>5</w:t>
            </w:r>
          </w:p>
        </w:tc>
        <w:tc>
          <w:tcPr>
            <w:tcW w:w="1109" w:type="dxa"/>
            <w:shd w:val="clear" w:color="auto" w:fill="auto"/>
            <w:vAlign w:val="center"/>
          </w:tcPr>
          <w:p>
            <w:pPr>
              <w:adjustRightInd w:val="0"/>
              <w:snapToGrid w:val="0"/>
              <w:spacing w:line="560" w:lineRule="exact"/>
              <w:rPr>
                <w:rFonts w:ascii="仿宋_GB2312" w:hAnsi="宋体"/>
                <w:sz w:val="24"/>
              </w:rPr>
            </w:pPr>
            <w:r>
              <w:rPr>
                <w:rFonts w:hint="eastAsia" w:ascii="仿宋_GB2312" w:hAnsi="宋体"/>
                <w:sz w:val="24"/>
              </w:rPr>
              <w:t>2022年12月21日</w:t>
            </w:r>
          </w:p>
        </w:tc>
        <w:tc>
          <w:tcPr>
            <w:tcW w:w="1290" w:type="dxa"/>
            <w:shd w:val="clear" w:color="auto" w:fill="auto"/>
            <w:vAlign w:val="center"/>
          </w:tcPr>
          <w:p>
            <w:pPr>
              <w:adjustRightInd w:val="0"/>
              <w:snapToGrid w:val="0"/>
              <w:spacing w:line="560" w:lineRule="exact"/>
              <w:rPr>
                <w:rFonts w:ascii="仿宋_GB2312" w:hAnsi="宋体"/>
                <w:sz w:val="24"/>
              </w:rPr>
            </w:pPr>
            <w:r>
              <w:rPr>
                <w:rFonts w:ascii="仿宋_GB2312" w:hAnsi="宋体"/>
                <w:sz w:val="24"/>
              </w:rPr>
              <w:t>国家矿山安全监察局山东局</w:t>
            </w:r>
          </w:p>
        </w:tc>
        <w:tc>
          <w:tcPr>
            <w:tcW w:w="1261" w:type="dxa"/>
            <w:gridSpan w:val="2"/>
            <w:shd w:val="clear" w:color="auto" w:fill="auto"/>
            <w:vAlign w:val="center"/>
          </w:tcPr>
          <w:p>
            <w:pPr>
              <w:adjustRightInd w:val="0"/>
              <w:snapToGrid w:val="0"/>
              <w:spacing w:line="560" w:lineRule="exact"/>
              <w:rPr>
                <w:rFonts w:ascii="仿宋_GB2312" w:hAnsi="宋体"/>
                <w:sz w:val="24"/>
              </w:rPr>
            </w:pPr>
            <w:r>
              <w:rPr>
                <w:rFonts w:hint="eastAsia" w:ascii="仿宋_GB2312" w:hAnsi="宋体"/>
                <w:sz w:val="24"/>
              </w:rPr>
              <w:t>临沂矿业集团菏泽煤电有限公司郭屯煤矿</w:t>
            </w:r>
          </w:p>
        </w:tc>
        <w:tc>
          <w:tcPr>
            <w:tcW w:w="5668" w:type="dxa"/>
            <w:shd w:val="clear" w:color="auto" w:fill="auto"/>
            <w:vAlign w:val="center"/>
          </w:tcPr>
          <w:p>
            <w:pPr>
              <w:adjustRightInd w:val="0"/>
              <w:snapToGrid w:val="0"/>
              <w:spacing w:line="560" w:lineRule="exact"/>
              <w:rPr>
                <w:rFonts w:ascii="仿宋_GB2312" w:hAnsi="宋体"/>
                <w:sz w:val="24"/>
              </w:rPr>
            </w:pPr>
            <w:r>
              <w:rPr>
                <w:rFonts w:hint="eastAsia" w:ascii="仿宋_GB2312" w:hAnsi="宋体"/>
                <w:sz w:val="24"/>
              </w:rPr>
              <w:t>2310轨顺中下部局部淋水区未采取架棚等加强支护方式措施，不符合《煤矿安全规程》第一百零二条第四项的规定。</w:t>
            </w:r>
          </w:p>
        </w:tc>
        <w:tc>
          <w:tcPr>
            <w:tcW w:w="1232" w:type="dxa"/>
            <w:shd w:val="clear" w:color="auto" w:fill="auto"/>
            <w:vAlign w:val="center"/>
          </w:tcPr>
          <w:p>
            <w:pPr>
              <w:adjustRightInd w:val="0"/>
              <w:snapToGrid w:val="0"/>
              <w:spacing w:line="560" w:lineRule="exact"/>
              <w:rPr>
                <w:rFonts w:ascii="仿宋_GB2312" w:hAnsi="宋体"/>
                <w:sz w:val="24"/>
              </w:rPr>
            </w:pPr>
            <w:r>
              <w:rPr>
                <w:rFonts w:hint="eastAsia" w:ascii="仿宋_GB2312" w:hAnsi="宋体"/>
                <w:sz w:val="24"/>
              </w:rPr>
              <w:t>《煤矿安全监察行政处罚办法》第十三条</w:t>
            </w:r>
          </w:p>
        </w:tc>
        <w:tc>
          <w:tcPr>
            <w:tcW w:w="1285" w:type="dxa"/>
            <w:shd w:val="clear" w:color="auto" w:fill="auto"/>
            <w:vAlign w:val="center"/>
          </w:tcPr>
          <w:p>
            <w:pPr>
              <w:adjustRightInd w:val="0"/>
              <w:snapToGrid w:val="0"/>
              <w:spacing w:line="560" w:lineRule="exact"/>
              <w:rPr>
                <w:rFonts w:ascii="仿宋_GB2312" w:hAnsi="宋体"/>
                <w:sz w:val="24"/>
              </w:rPr>
            </w:pPr>
            <w:r>
              <w:rPr>
                <w:rFonts w:hint="eastAsia" w:ascii="仿宋_GB2312" w:hAnsi="宋体"/>
                <w:sz w:val="24"/>
              </w:rPr>
              <w:t>罚款人民币壹万元整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700" w:type="dxa"/>
            <w:vAlign w:val="center"/>
          </w:tcPr>
          <w:p>
            <w:pPr>
              <w:adjustRightInd w:val="0"/>
              <w:snapToGrid w:val="0"/>
              <w:spacing w:line="560" w:lineRule="exact"/>
              <w:jc w:val="center"/>
              <w:rPr>
                <w:rFonts w:ascii="仿宋_GB2312"/>
                <w:sz w:val="24"/>
              </w:rPr>
            </w:pPr>
            <w:r>
              <w:rPr>
                <w:rFonts w:hint="eastAsia" w:ascii="仿宋_GB2312"/>
                <w:sz w:val="24"/>
              </w:rPr>
              <w:t>6</w:t>
            </w:r>
          </w:p>
        </w:tc>
        <w:tc>
          <w:tcPr>
            <w:tcW w:w="1109" w:type="dxa"/>
            <w:shd w:val="clear" w:color="auto" w:fill="auto"/>
            <w:vAlign w:val="center"/>
          </w:tcPr>
          <w:p>
            <w:pPr>
              <w:adjustRightInd w:val="0"/>
              <w:snapToGrid w:val="0"/>
              <w:spacing w:line="560" w:lineRule="exact"/>
              <w:rPr>
                <w:rFonts w:ascii="仿宋_GB2312" w:hAnsi="宋体"/>
                <w:sz w:val="24"/>
              </w:rPr>
            </w:pPr>
            <w:r>
              <w:rPr>
                <w:rFonts w:hint="eastAsia" w:ascii="仿宋_GB2312" w:hAnsi="宋体"/>
                <w:sz w:val="24"/>
              </w:rPr>
              <w:t>2022年12月21日</w:t>
            </w:r>
          </w:p>
        </w:tc>
        <w:tc>
          <w:tcPr>
            <w:tcW w:w="1290" w:type="dxa"/>
            <w:shd w:val="clear" w:color="auto" w:fill="auto"/>
            <w:vAlign w:val="center"/>
          </w:tcPr>
          <w:p>
            <w:pPr>
              <w:adjustRightInd w:val="0"/>
              <w:snapToGrid w:val="0"/>
              <w:spacing w:line="560" w:lineRule="exact"/>
              <w:rPr>
                <w:rFonts w:ascii="仿宋_GB2312" w:hAnsi="宋体"/>
                <w:sz w:val="24"/>
              </w:rPr>
            </w:pPr>
            <w:r>
              <w:rPr>
                <w:rFonts w:ascii="仿宋_GB2312" w:hAnsi="宋体"/>
                <w:sz w:val="24"/>
              </w:rPr>
              <w:t>国家矿山安全监察局山东局</w:t>
            </w:r>
          </w:p>
        </w:tc>
        <w:tc>
          <w:tcPr>
            <w:tcW w:w="1261" w:type="dxa"/>
            <w:gridSpan w:val="2"/>
            <w:shd w:val="clear" w:color="auto" w:fill="auto"/>
            <w:vAlign w:val="center"/>
          </w:tcPr>
          <w:p>
            <w:pPr>
              <w:adjustRightInd w:val="0"/>
              <w:snapToGrid w:val="0"/>
              <w:spacing w:line="560" w:lineRule="exact"/>
              <w:rPr>
                <w:rFonts w:ascii="仿宋_GB2312" w:hAnsi="宋体"/>
                <w:sz w:val="24"/>
              </w:rPr>
            </w:pPr>
            <w:r>
              <w:rPr>
                <w:rFonts w:hint="eastAsia" w:ascii="仿宋_GB2312" w:hAnsi="宋体"/>
                <w:sz w:val="24"/>
              </w:rPr>
              <w:t>临沂矿业集团菏泽煤电有限公司郭屯煤矿</w:t>
            </w:r>
          </w:p>
        </w:tc>
        <w:tc>
          <w:tcPr>
            <w:tcW w:w="5668" w:type="dxa"/>
            <w:shd w:val="clear" w:color="auto" w:fill="auto"/>
            <w:vAlign w:val="center"/>
          </w:tcPr>
          <w:p>
            <w:pPr>
              <w:adjustRightInd w:val="0"/>
              <w:snapToGrid w:val="0"/>
              <w:spacing w:line="560" w:lineRule="exact"/>
              <w:rPr>
                <w:rFonts w:ascii="仿宋_GB2312" w:hAnsi="宋体"/>
                <w:sz w:val="24"/>
              </w:rPr>
            </w:pPr>
            <w:r>
              <w:rPr>
                <w:rFonts w:ascii="仿宋_GB2312" w:hAnsi="宋体"/>
                <w:sz w:val="24"/>
              </w:rPr>
              <w:t>1.</w:t>
            </w:r>
            <w:r>
              <w:rPr>
                <w:rFonts w:hint="eastAsia" w:ascii="仿宋_GB2312" w:hAnsi="宋体"/>
                <w:sz w:val="24"/>
              </w:rPr>
              <w:t>2306工作面81-82#架架间距超过150mm，无防护网；79#-80#支架错茬超过顶梁厚度的2/3，不符合《2306工作面作业规程》中“架间距不得超过150mm，超过时需挂网支护，支架错茬不得超过顶梁厚度的2/3”的规定。</w:t>
            </w:r>
          </w:p>
          <w:p>
            <w:pPr>
              <w:adjustRightInd w:val="0"/>
              <w:snapToGrid w:val="0"/>
              <w:spacing w:line="560" w:lineRule="exact"/>
              <w:rPr>
                <w:rFonts w:ascii="仿宋_GB2312" w:hAnsi="宋体"/>
                <w:sz w:val="24"/>
              </w:rPr>
            </w:pPr>
            <w:r>
              <w:rPr>
                <w:rFonts w:hint="eastAsia" w:ascii="仿宋_GB2312" w:hAnsi="宋体"/>
                <w:sz w:val="24"/>
              </w:rPr>
              <w:t>2</w:t>
            </w:r>
            <w:r>
              <w:rPr>
                <w:rFonts w:ascii="仿宋_GB2312" w:hAnsi="宋体"/>
                <w:sz w:val="24"/>
              </w:rPr>
              <w:t>.</w:t>
            </w:r>
            <w:r>
              <w:rPr>
                <w:rFonts w:hint="eastAsia" w:ascii="仿宋_GB2312" w:hAnsi="宋体"/>
                <w:sz w:val="24"/>
              </w:rPr>
              <w:t>2303工作面145#-146#液压支架架间距超过200mm，架间活矸未及时摘除，不符合《2303综放工作面作业规程》中“施工作业前必须检查作业地点顶帮完好情况，及时找掉危矸”的规定。</w:t>
            </w:r>
          </w:p>
        </w:tc>
        <w:tc>
          <w:tcPr>
            <w:tcW w:w="1232" w:type="dxa"/>
            <w:shd w:val="clear" w:color="auto" w:fill="auto"/>
            <w:vAlign w:val="center"/>
          </w:tcPr>
          <w:p>
            <w:pPr>
              <w:adjustRightInd w:val="0"/>
              <w:snapToGrid w:val="0"/>
              <w:spacing w:line="560" w:lineRule="exact"/>
              <w:rPr>
                <w:rFonts w:ascii="仿宋_GB2312" w:hAnsi="宋体"/>
                <w:sz w:val="24"/>
              </w:rPr>
            </w:pPr>
            <w:r>
              <w:rPr>
                <w:rFonts w:hint="eastAsia" w:ascii="仿宋_GB2312" w:hAnsi="宋体"/>
                <w:sz w:val="24"/>
              </w:rPr>
              <w:t>《山东省安全生产条例》第七十六条第一款</w:t>
            </w:r>
          </w:p>
        </w:tc>
        <w:tc>
          <w:tcPr>
            <w:tcW w:w="1285" w:type="dxa"/>
            <w:shd w:val="clear" w:color="auto" w:fill="auto"/>
            <w:vAlign w:val="center"/>
          </w:tcPr>
          <w:p>
            <w:pPr>
              <w:adjustRightInd w:val="0"/>
              <w:snapToGrid w:val="0"/>
              <w:spacing w:line="560" w:lineRule="exact"/>
              <w:rPr>
                <w:rFonts w:ascii="仿宋_GB2312" w:hAnsi="宋体"/>
                <w:sz w:val="24"/>
              </w:rPr>
            </w:pPr>
            <w:r>
              <w:rPr>
                <w:rFonts w:hint="eastAsia" w:ascii="仿宋_GB2312" w:hAnsi="宋体"/>
                <w:sz w:val="24"/>
              </w:rPr>
              <w:t>罚款人民币叁万元整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700" w:type="dxa"/>
            <w:vAlign w:val="center"/>
          </w:tcPr>
          <w:p>
            <w:pPr>
              <w:adjustRightInd w:val="0"/>
              <w:snapToGrid w:val="0"/>
              <w:spacing w:line="560" w:lineRule="exact"/>
              <w:jc w:val="center"/>
              <w:rPr>
                <w:rFonts w:ascii="仿宋_GB2312"/>
                <w:sz w:val="24"/>
              </w:rPr>
            </w:pPr>
            <w:r>
              <w:rPr>
                <w:rFonts w:hint="eastAsia" w:ascii="仿宋_GB2312"/>
                <w:sz w:val="24"/>
              </w:rPr>
              <w:t>7</w:t>
            </w:r>
          </w:p>
        </w:tc>
        <w:tc>
          <w:tcPr>
            <w:tcW w:w="1109" w:type="dxa"/>
            <w:shd w:val="clear" w:color="auto" w:fill="auto"/>
            <w:vAlign w:val="center"/>
          </w:tcPr>
          <w:p>
            <w:pPr>
              <w:adjustRightInd w:val="0"/>
              <w:snapToGrid w:val="0"/>
              <w:spacing w:line="560" w:lineRule="exact"/>
              <w:rPr>
                <w:rFonts w:ascii="仿宋_GB2312" w:hAnsi="宋体"/>
                <w:sz w:val="24"/>
              </w:rPr>
            </w:pPr>
            <w:r>
              <w:rPr>
                <w:rFonts w:hint="eastAsia" w:ascii="仿宋_GB2312" w:hAnsi="宋体"/>
                <w:sz w:val="24"/>
              </w:rPr>
              <w:t>2022年12月21日</w:t>
            </w:r>
          </w:p>
        </w:tc>
        <w:tc>
          <w:tcPr>
            <w:tcW w:w="1290" w:type="dxa"/>
            <w:shd w:val="clear" w:color="auto" w:fill="auto"/>
            <w:vAlign w:val="center"/>
          </w:tcPr>
          <w:p>
            <w:pPr>
              <w:adjustRightInd w:val="0"/>
              <w:snapToGrid w:val="0"/>
              <w:spacing w:line="560" w:lineRule="exact"/>
              <w:rPr>
                <w:rFonts w:ascii="仿宋_GB2312" w:hAnsi="宋体"/>
                <w:sz w:val="24"/>
              </w:rPr>
            </w:pPr>
            <w:r>
              <w:rPr>
                <w:rFonts w:ascii="仿宋_GB2312" w:hAnsi="宋体"/>
                <w:sz w:val="24"/>
              </w:rPr>
              <w:t>国家矿山安全监察局山东局监察执法一处</w:t>
            </w:r>
          </w:p>
        </w:tc>
        <w:tc>
          <w:tcPr>
            <w:tcW w:w="1261" w:type="dxa"/>
            <w:gridSpan w:val="2"/>
            <w:shd w:val="clear" w:color="auto" w:fill="auto"/>
            <w:vAlign w:val="center"/>
          </w:tcPr>
          <w:p>
            <w:pPr>
              <w:adjustRightInd w:val="0"/>
              <w:snapToGrid w:val="0"/>
              <w:spacing w:line="560" w:lineRule="exact"/>
              <w:rPr>
                <w:rFonts w:ascii="仿宋_GB2312" w:hAnsi="宋体"/>
                <w:sz w:val="24"/>
              </w:rPr>
            </w:pPr>
            <w:r>
              <w:rPr>
                <w:rFonts w:hint="eastAsia" w:ascii="仿宋_GB2312" w:hAnsi="宋体"/>
                <w:sz w:val="24"/>
              </w:rPr>
              <w:t>临沂矿业集团菏泽煤电有限公司郭屯煤矿</w:t>
            </w:r>
          </w:p>
        </w:tc>
        <w:tc>
          <w:tcPr>
            <w:tcW w:w="5668" w:type="dxa"/>
            <w:shd w:val="clear" w:color="auto" w:fill="auto"/>
            <w:vAlign w:val="center"/>
          </w:tcPr>
          <w:p>
            <w:pPr>
              <w:adjustRightInd w:val="0"/>
              <w:snapToGrid w:val="0"/>
              <w:spacing w:line="560" w:lineRule="exact"/>
              <w:rPr>
                <w:rFonts w:ascii="仿宋_GB2312" w:hAnsi="宋体"/>
                <w:sz w:val="24"/>
              </w:rPr>
            </w:pPr>
            <w:r>
              <w:rPr>
                <w:rFonts w:hint="eastAsia" w:ascii="仿宋_GB2312" w:hAnsi="宋体"/>
                <w:sz w:val="24"/>
              </w:rPr>
              <w:t>矿井主井底清理撒煤硐室底板有浮煤淤积，未及时清理，不符合《煤矿安全规程》第一百八十六条第二款的规定。</w:t>
            </w:r>
          </w:p>
        </w:tc>
        <w:tc>
          <w:tcPr>
            <w:tcW w:w="1232" w:type="dxa"/>
            <w:shd w:val="clear" w:color="auto" w:fill="auto"/>
            <w:vAlign w:val="center"/>
          </w:tcPr>
          <w:p>
            <w:pPr>
              <w:adjustRightInd w:val="0"/>
              <w:snapToGrid w:val="0"/>
              <w:spacing w:line="560" w:lineRule="exact"/>
              <w:rPr>
                <w:rFonts w:ascii="仿宋_GB2312" w:hAnsi="宋体"/>
                <w:sz w:val="24"/>
              </w:rPr>
            </w:pPr>
            <w:r>
              <w:rPr>
                <w:rFonts w:hint="eastAsia" w:ascii="仿宋_GB2312" w:hAnsi="宋体"/>
                <w:sz w:val="24"/>
              </w:rPr>
              <w:t>《煤矿安全监察行政处罚办法》第二十条</w:t>
            </w:r>
          </w:p>
        </w:tc>
        <w:tc>
          <w:tcPr>
            <w:tcW w:w="1285" w:type="dxa"/>
            <w:shd w:val="clear" w:color="auto" w:fill="auto"/>
            <w:vAlign w:val="center"/>
          </w:tcPr>
          <w:p>
            <w:pPr>
              <w:adjustRightInd w:val="0"/>
              <w:snapToGrid w:val="0"/>
              <w:spacing w:line="560" w:lineRule="exact"/>
              <w:rPr>
                <w:rFonts w:ascii="仿宋_GB2312" w:hAnsi="宋体"/>
                <w:sz w:val="24"/>
              </w:rPr>
            </w:pPr>
            <w:r>
              <w:rPr>
                <w:rFonts w:hint="eastAsia" w:ascii="仿宋_GB2312" w:hAnsi="宋体"/>
                <w:sz w:val="24"/>
              </w:rPr>
              <w:t>罚款人民币壹万元整</w:t>
            </w:r>
          </w:p>
        </w:tc>
      </w:tr>
    </w:tbl>
    <w:p>
      <w:pPr>
        <w:spacing w:line="560" w:lineRule="exact"/>
      </w:pPr>
    </w:p>
    <w:p/>
    <w:sectPr>
      <w:footerReference r:id="rId3" w:type="default"/>
      <w:pgSz w:w="16838" w:h="11907" w:orient="landscape"/>
      <w:pgMar w:top="1588" w:right="2098" w:bottom="1474" w:left="1985" w:header="851" w:footer="992" w:gutter="0"/>
      <w:cols w:space="425" w:num="1"/>
      <w:docGrid w:type="line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3603626"/>
      <w:docPartObj>
        <w:docPartGallery w:val="autotext"/>
      </w:docPartObj>
    </w:sdtPr>
    <w:sdtContent>
      <w:p>
        <w:pPr>
          <w:pStyle w:val="2"/>
          <w:jc w:val="center"/>
        </w:pPr>
        <w:r>
          <w:fldChar w:fldCharType="begin"/>
        </w:r>
        <w:r>
          <w:instrText xml:space="preserve">PAGE   \* MERGEFORMAT</w:instrText>
        </w:r>
        <w:r>
          <w:fldChar w:fldCharType="separate"/>
        </w:r>
        <w:r>
          <w:rPr>
            <w:lang w:val="zh-CN"/>
          </w:rPr>
          <w:t>5</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3YjQ5MjVmZmI1NjdiOWVlZTZkZTkyMTZjMDRlMTcifQ=="/>
  </w:docVars>
  <w:rsids>
    <w:rsidRoot w:val="347B51C5"/>
    <w:rsid w:val="347B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customStyle="1" w:styleId="5">
    <w:name w:val="样式4"/>
    <w:basedOn w:val="1"/>
    <w:qFormat/>
    <w:uiPriority w:val="0"/>
    <w:pPr>
      <w:spacing w:line="600" w:lineRule="exact"/>
      <w:ind w:firstLine="628" w:firstLineChars="200"/>
    </w:pPr>
    <w:rPr>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2022-12-23T03:27:00Z</dcterms:created>
  <dc:creator>李澎</dc:creator>
  <cp:lastModifiedBy>李澎</cp:lastModifiedBy>
  <dcterms:modified xsi:type="dcterms:W3CDTF">2022-12-23T03:27:32Z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D9F202C9DC224E9590FB88B21A5A332C</vt:lpwstr>
  </property>
</Properties>
</file>