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Cs w:val="32"/>
        </w:rPr>
      </w:pPr>
      <w:r>
        <w:rPr>
          <w:rFonts w:hint="eastAsia" w:ascii="黑体" w:hAnsi="黑体" w:eastAsia="黑体"/>
          <w:szCs w:val="32"/>
        </w:rPr>
        <w:t>附件</w:t>
      </w:r>
    </w:p>
    <w:p>
      <w:pPr>
        <w:spacing w:line="560" w:lineRule="exact"/>
        <w:jc w:val="center"/>
        <w:rPr>
          <w:rFonts w:ascii="方正小标宋简体" w:eastAsia="方正小标宋简体"/>
          <w:szCs w:val="32"/>
        </w:rPr>
      </w:pPr>
      <w:bookmarkStart w:id="0" w:name="_GoBack"/>
      <w:r>
        <w:rPr>
          <w:rFonts w:hint="eastAsia" w:ascii="方正小标宋简体" w:eastAsia="方正小标宋简体"/>
          <w:szCs w:val="32"/>
        </w:rPr>
        <w:t>监察执法二处2022年第20批行政处罚信息公开表</w:t>
      </w:r>
    </w:p>
    <w:bookmarkEnd w:id="0"/>
    <w:p>
      <w:pPr>
        <w:spacing w:line="560" w:lineRule="exact"/>
        <w:jc w:val="center"/>
        <w:rPr>
          <w:rFonts w:ascii="方正小标宋简体" w:eastAsia="方正小标宋简体"/>
          <w:szCs w:val="3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591"/>
        <w:gridCol w:w="1765"/>
        <w:gridCol w:w="1028"/>
        <w:gridCol w:w="5652"/>
        <w:gridCol w:w="105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pPr>
              <w:spacing w:line="280" w:lineRule="exact"/>
              <w:rPr>
                <w:rFonts w:ascii="黑体" w:hAnsi="黑体" w:eastAsia="黑体"/>
                <w:sz w:val="24"/>
                <w:szCs w:val="24"/>
              </w:rPr>
            </w:pPr>
            <w:r>
              <w:rPr>
                <w:rFonts w:hint="eastAsia" w:ascii="黑体" w:hAnsi="黑体" w:eastAsia="黑体"/>
                <w:sz w:val="24"/>
                <w:szCs w:val="24"/>
              </w:rPr>
              <w:t>序号</w:t>
            </w:r>
          </w:p>
        </w:tc>
        <w:tc>
          <w:tcPr>
            <w:tcW w:w="613" w:type="pct"/>
            <w:shd w:val="clear" w:color="auto" w:fill="auto"/>
            <w:vAlign w:val="center"/>
          </w:tcPr>
          <w:p>
            <w:pPr>
              <w:spacing w:line="280" w:lineRule="exact"/>
              <w:rPr>
                <w:rFonts w:ascii="黑体" w:hAnsi="黑体" w:eastAsia="黑体"/>
                <w:sz w:val="24"/>
                <w:szCs w:val="24"/>
              </w:rPr>
            </w:pPr>
            <w:r>
              <w:rPr>
                <w:rFonts w:hint="eastAsia" w:ascii="黑体" w:hAnsi="黑体" w:eastAsia="黑体"/>
                <w:sz w:val="24"/>
                <w:szCs w:val="24"/>
              </w:rPr>
              <w:t>执法决定日期</w:t>
            </w:r>
          </w:p>
        </w:tc>
        <w:tc>
          <w:tcPr>
            <w:tcW w:w="680" w:type="pct"/>
            <w:shd w:val="clear" w:color="auto" w:fill="auto"/>
            <w:vAlign w:val="center"/>
          </w:tcPr>
          <w:p>
            <w:pPr>
              <w:spacing w:line="280" w:lineRule="exact"/>
              <w:rPr>
                <w:rFonts w:ascii="黑体" w:hAnsi="黑体" w:eastAsia="黑体"/>
                <w:sz w:val="24"/>
                <w:szCs w:val="24"/>
              </w:rPr>
            </w:pPr>
            <w:r>
              <w:rPr>
                <w:rFonts w:hint="eastAsia" w:ascii="黑体" w:hAnsi="黑体" w:eastAsia="黑体"/>
                <w:sz w:val="24"/>
                <w:szCs w:val="24"/>
              </w:rPr>
              <w:t>执法主体</w:t>
            </w:r>
          </w:p>
        </w:tc>
        <w:tc>
          <w:tcPr>
            <w:tcW w:w="396" w:type="pct"/>
            <w:shd w:val="clear" w:color="auto" w:fill="auto"/>
            <w:vAlign w:val="center"/>
          </w:tcPr>
          <w:p>
            <w:pPr>
              <w:spacing w:line="280" w:lineRule="exact"/>
              <w:rPr>
                <w:rFonts w:ascii="黑体" w:hAnsi="黑体" w:eastAsia="黑体"/>
                <w:sz w:val="24"/>
                <w:szCs w:val="24"/>
              </w:rPr>
            </w:pPr>
            <w:r>
              <w:rPr>
                <w:rFonts w:ascii="黑体" w:hAnsi="黑体" w:eastAsia="黑体"/>
                <w:sz w:val="24"/>
                <w:szCs w:val="24"/>
              </w:rPr>
              <w:t>执法对象</w:t>
            </w:r>
          </w:p>
        </w:tc>
        <w:tc>
          <w:tcPr>
            <w:tcW w:w="2178" w:type="pct"/>
            <w:shd w:val="clear" w:color="auto" w:fill="auto"/>
            <w:vAlign w:val="center"/>
          </w:tcPr>
          <w:p>
            <w:pPr>
              <w:spacing w:line="280" w:lineRule="exact"/>
              <w:jc w:val="center"/>
              <w:rPr>
                <w:rFonts w:ascii="黑体" w:hAnsi="黑体" w:eastAsia="黑体"/>
                <w:sz w:val="24"/>
                <w:szCs w:val="24"/>
              </w:rPr>
            </w:pPr>
            <w:r>
              <w:rPr>
                <w:rFonts w:ascii="黑体" w:hAnsi="黑体" w:eastAsia="黑体"/>
                <w:sz w:val="24"/>
                <w:szCs w:val="24"/>
              </w:rPr>
              <w:t>违法事实</w:t>
            </w:r>
          </w:p>
        </w:tc>
        <w:tc>
          <w:tcPr>
            <w:tcW w:w="408" w:type="pct"/>
            <w:shd w:val="clear" w:color="auto" w:fill="auto"/>
            <w:vAlign w:val="center"/>
          </w:tcPr>
          <w:p>
            <w:pPr>
              <w:spacing w:line="280" w:lineRule="exact"/>
              <w:rPr>
                <w:rFonts w:ascii="黑体" w:hAnsi="黑体" w:eastAsia="黑体"/>
                <w:sz w:val="24"/>
                <w:szCs w:val="24"/>
              </w:rPr>
            </w:pPr>
            <w:r>
              <w:rPr>
                <w:rFonts w:ascii="黑体" w:hAnsi="黑体" w:eastAsia="黑体"/>
                <w:sz w:val="24"/>
                <w:szCs w:val="24"/>
              </w:rPr>
              <w:t>处罚依据</w:t>
            </w:r>
          </w:p>
        </w:tc>
        <w:tc>
          <w:tcPr>
            <w:tcW w:w="474" w:type="pct"/>
            <w:shd w:val="clear" w:color="auto" w:fill="auto"/>
            <w:vAlign w:val="center"/>
          </w:tcPr>
          <w:p>
            <w:pPr>
              <w:spacing w:line="280" w:lineRule="exact"/>
              <w:rPr>
                <w:rFonts w:ascii="黑体" w:hAnsi="黑体" w:eastAsia="黑体"/>
                <w:sz w:val="24"/>
                <w:szCs w:val="24"/>
              </w:rPr>
            </w:pPr>
            <w:r>
              <w:rPr>
                <w:rFonts w:ascii="黑体" w:hAnsi="黑体" w:eastAsia="黑体"/>
                <w:sz w:val="24"/>
                <w:szCs w:val="24"/>
              </w:rPr>
              <w:t>处罚内</w:t>
            </w:r>
            <w:r>
              <w:rPr>
                <w:rFonts w:hint="eastAsia" w:ascii="黑体" w:hAnsi="黑体" w:eastAsia="黑体"/>
                <w:sz w:val="24"/>
                <w:szCs w:val="24"/>
              </w:rPr>
              <w:t xml:space="preserve"> </w:t>
            </w:r>
            <w:r>
              <w:rPr>
                <w:rFonts w:ascii="黑体" w:hAnsi="黑体" w:eastAsia="黑体"/>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shd w:val="clear" w:color="auto" w:fill="auto"/>
            <w:vAlign w:val="center"/>
          </w:tcPr>
          <w:p>
            <w:pPr>
              <w:spacing w:line="280" w:lineRule="exact"/>
              <w:rPr>
                <w:sz w:val="24"/>
                <w:szCs w:val="24"/>
              </w:rPr>
            </w:pPr>
            <w:r>
              <w:rPr>
                <w:rFonts w:hint="eastAsia"/>
                <w:sz w:val="24"/>
                <w:szCs w:val="24"/>
              </w:rPr>
              <w:t>1</w:t>
            </w:r>
          </w:p>
        </w:tc>
        <w:tc>
          <w:tcPr>
            <w:tcW w:w="613" w:type="pct"/>
            <w:vMerge w:val="restart"/>
            <w:shd w:val="clear" w:color="auto" w:fill="auto"/>
            <w:vAlign w:val="center"/>
          </w:tcPr>
          <w:p>
            <w:pPr>
              <w:spacing w:line="280" w:lineRule="exact"/>
              <w:rPr>
                <w:sz w:val="24"/>
                <w:szCs w:val="24"/>
              </w:rPr>
            </w:pPr>
            <w:r>
              <w:rPr>
                <w:rFonts w:hint="eastAsia"/>
                <w:sz w:val="24"/>
                <w:szCs w:val="24"/>
              </w:rPr>
              <w:t>2022年12月5日</w:t>
            </w:r>
          </w:p>
        </w:tc>
        <w:tc>
          <w:tcPr>
            <w:tcW w:w="680" w:type="pct"/>
            <w:vMerge w:val="restart"/>
            <w:shd w:val="clear" w:color="auto" w:fill="auto"/>
            <w:vAlign w:val="center"/>
          </w:tcPr>
          <w:p>
            <w:pPr>
              <w:spacing w:line="280" w:lineRule="exact"/>
              <w:jc w:val="center"/>
              <w:rPr>
                <w:sz w:val="24"/>
                <w:szCs w:val="24"/>
              </w:rPr>
            </w:pPr>
            <w:r>
              <w:rPr>
                <w:sz w:val="24"/>
                <w:szCs w:val="24"/>
              </w:rPr>
              <w:t>国家矿山安全监察局山东局</w:t>
            </w:r>
          </w:p>
        </w:tc>
        <w:tc>
          <w:tcPr>
            <w:tcW w:w="396" w:type="pct"/>
            <w:vMerge w:val="restart"/>
            <w:shd w:val="clear" w:color="auto" w:fill="auto"/>
            <w:vAlign w:val="center"/>
          </w:tcPr>
          <w:p>
            <w:pPr>
              <w:spacing w:line="280" w:lineRule="exact"/>
              <w:jc w:val="center"/>
              <w:rPr>
                <w:sz w:val="24"/>
                <w:szCs w:val="24"/>
              </w:rPr>
            </w:pPr>
            <w:r>
              <w:rPr>
                <w:rFonts w:hint="eastAsia"/>
                <w:sz w:val="24"/>
                <w:szCs w:val="24"/>
              </w:rPr>
              <w:t>山东新查庄矿业有限责任公司</w:t>
            </w:r>
          </w:p>
        </w:tc>
        <w:tc>
          <w:tcPr>
            <w:tcW w:w="2178" w:type="pct"/>
            <w:shd w:val="clear" w:color="auto" w:fill="auto"/>
            <w:vAlign w:val="center"/>
          </w:tcPr>
          <w:p>
            <w:pPr>
              <w:spacing w:line="280" w:lineRule="exact"/>
              <w:rPr>
                <w:sz w:val="24"/>
                <w:szCs w:val="24"/>
              </w:rPr>
            </w:pPr>
            <w:r>
              <w:rPr>
                <w:rFonts w:hint="eastAsia"/>
                <w:sz w:val="24"/>
                <w:szCs w:val="24"/>
              </w:rPr>
              <w:t>1.现场检查工广下8煤皮带巷掘进机供电电缆有一相电缆绝缘值为0，无法正常送电操作，现场作业人员未及时维修并消除事故隐患，不符合《煤矿安全规程》第四条第五款的规定，井下工业广场运矸一号带式输送机上皮带跑偏，现场测试发现上皮带与一侧的铁支架持续摩擦，煤矿未发现隐患并采取措施处理，不符合《煤矿安全规程》第四条第五款的规定。</w:t>
            </w:r>
          </w:p>
        </w:tc>
        <w:tc>
          <w:tcPr>
            <w:tcW w:w="408" w:type="pct"/>
            <w:shd w:val="clear" w:color="auto" w:fill="auto"/>
            <w:vAlign w:val="center"/>
          </w:tcPr>
          <w:p>
            <w:pPr>
              <w:spacing w:line="280" w:lineRule="exact"/>
              <w:rPr>
                <w:sz w:val="24"/>
                <w:szCs w:val="24"/>
              </w:rPr>
            </w:pPr>
            <w:r>
              <w:rPr>
                <w:rFonts w:hint="eastAsia"/>
                <w:sz w:val="24"/>
                <w:szCs w:val="24"/>
              </w:rPr>
              <w:t>《中华人民共和国安全生产法》第一百零二条</w:t>
            </w:r>
          </w:p>
        </w:tc>
        <w:tc>
          <w:tcPr>
            <w:tcW w:w="474" w:type="pct"/>
            <w:shd w:val="clear" w:color="auto" w:fill="auto"/>
            <w:vAlign w:val="center"/>
          </w:tcPr>
          <w:p>
            <w:pPr>
              <w:spacing w:line="280" w:lineRule="exact"/>
              <w:rPr>
                <w:sz w:val="24"/>
                <w:szCs w:val="24"/>
              </w:rPr>
            </w:pPr>
            <w:r>
              <w:rPr>
                <w:rFonts w:hint="eastAsia"/>
                <w:sz w:val="24"/>
                <w:szCs w:val="24"/>
              </w:rPr>
              <w:t>罚款人民币四万元整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spacing w:line="280" w:lineRule="exact"/>
              <w:rPr>
                <w:sz w:val="24"/>
                <w:szCs w:val="24"/>
              </w:rPr>
            </w:pPr>
          </w:p>
        </w:tc>
        <w:tc>
          <w:tcPr>
            <w:tcW w:w="613" w:type="pct"/>
            <w:vMerge w:val="continue"/>
            <w:shd w:val="clear" w:color="auto" w:fill="auto"/>
            <w:vAlign w:val="center"/>
          </w:tcPr>
          <w:p>
            <w:pPr>
              <w:spacing w:line="280" w:lineRule="exact"/>
              <w:rPr>
                <w:sz w:val="24"/>
                <w:szCs w:val="24"/>
              </w:rPr>
            </w:pPr>
          </w:p>
        </w:tc>
        <w:tc>
          <w:tcPr>
            <w:tcW w:w="680" w:type="pct"/>
            <w:vMerge w:val="continue"/>
            <w:shd w:val="clear" w:color="auto" w:fill="auto"/>
            <w:vAlign w:val="center"/>
          </w:tcPr>
          <w:p>
            <w:pPr>
              <w:spacing w:line="280" w:lineRule="exact"/>
              <w:rPr>
                <w:sz w:val="24"/>
                <w:szCs w:val="24"/>
              </w:rPr>
            </w:pPr>
          </w:p>
        </w:tc>
        <w:tc>
          <w:tcPr>
            <w:tcW w:w="396" w:type="pct"/>
            <w:vMerge w:val="continue"/>
            <w:shd w:val="clear" w:color="auto" w:fill="auto"/>
            <w:vAlign w:val="center"/>
          </w:tcPr>
          <w:p>
            <w:pPr>
              <w:spacing w:line="280" w:lineRule="exact"/>
              <w:rPr>
                <w:sz w:val="24"/>
                <w:szCs w:val="24"/>
              </w:rPr>
            </w:pPr>
          </w:p>
        </w:tc>
        <w:tc>
          <w:tcPr>
            <w:tcW w:w="2178" w:type="pct"/>
            <w:shd w:val="clear" w:color="auto" w:fill="auto"/>
            <w:vAlign w:val="center"/>
          </w:tcPr>
          <w:p>
            <w:pPr>
              <w:spacing w:line="280" w:lineRule="exact"/>
              <w:rPr>
                <w:sz w:val="24"/>
                <w:szCs w:val="24"/>
              </w:rPr>
            </w:pPr>
            <w:r>
              <w:rPr>
                <w:rFonts w:hint="eastAsia"/>
                <w:sz w:val="24"/>
                <w:szCs w:val="24"/>
              </w:rPr>
              <w:t>2.工广下8煤轨道巷掘进工作面（停掘）安设的风筒传感器型号为500mm，但风筒型号为600mm型号，且现场未按操作规程试验传感器风电闭锁功能，造成风筒传感器误动作，无法实现可靠的风电闭锁，不符合《煤矿安全规程》第八条第三款的规定。</w:t>
            </w:r>
          </w:p>
        </w:tc>
        <w:tc>
          <w:tcPr>
            <w:tcW w:w="408" w:type="pct"/>
            <w:shd w:val="clear" w:color="auto" w:fill="auto"/>
            <w:vAlign w:val="center"/>
          </w:tcPr>
          <w:p>
            <w:pPr>
              <w:spacing w:line="280" w:lineRule="exact"/>
              <w:rPr>
                <w:sz w:val="24"/>
                <w:szCs w:val="24"/>
              </w:rPr>
            </w:pPr>
            <w:r>
              <w:rPr>
                <w:rFonts w:hint="eastAsia"/>
                <w:sz w:val="24"/>
                <w:szCs w:val="24"/>
              </w:rPr>
              <w:t>《安全生产违法行为行政处罚办法》第四十五条第一项</w:t>
            </w:r>
          </w:p>
        </w:tc>
        <w:tc>
          <w:tcPr>
            <w:tcW w:w="474" w:type="pct"/>
            <w:shd w:val="clear" w:color="auto" w:fill="auto"/>
            <w:vAlign w:val="center"/>
          </w:tcPr>
          <w:p>
            <w:pPr>
              <w:spacing w:line="280" w:lineRule="exact"/>
              <w:rPr>
                <w:sz w:val="24"/>
                <w:szCs w:val="24"/>
              </w:rPr>
            </w:pPr>
            <w:r>
              <w:rPr>
                <w:rFonts w:hint="eastAsia"/>
                <w:sz w:val="24"/>
                <w:szCs w:val="24"/>
              </w:rPr>
              <w:t>警告，罚款人民币二万元整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spacing w:line="280" w:lineRule="exact"/>
              <w:rPr>
                <w:sz w:val="24"/>
                <w:szCs w:val="24"/>
              </w:rPr>
            </w:pPr>
          </w:p>
        </w:tc>
        <w:tc>
          <w:tcPr>
            <w:tcW w:w="613" w:type="pct"/>
            <w:vMerge w:val="continue"/>
            <w:shd w:val="clear" w:color="auto" w:fill="auto"/>
            <w:vAlign w:val="center"/>
          </w:tcPr>
          <w:p>
            <w:pPr>
              <w:spacing w:line="280" w:lineRule="exact"/>
              <w:rPr>
                <w:sz w:val="24"/>
                <w:szCs w:val="24"/>
              </w:rPr>
            </w:pPr>
          </w:p>
        </w:tc>
        <w:tc>
          <w:tcPr>
            <w:tcW w:w="680" w:type="pct"/>
            <w:vMerge w:val="continue"/>
            <w:shd w:val="clear" w:color="auto" w:fill="auto"/>
            <w:vAlign w:val="center"/>
          </w:tcPr>
          <w:p>
            <w:pPr>
              <w:spacing w:line="280" w:lineRule="exact"/>
              <w:rPr>
                <w:sz w:val="24"/>
                <w:szCs w:val="24"/>
              </w:rPr>
            </w:pPr>
          </w:p>
        </w:tc>
        <w:tc>
          <w:tcPr>
            <w:tcW w:w="396" w:type="pct"/>
            <w:vMerge w:val="continue"/>
            <w:shd w:val="clear" w:color="auto" w:fill="auto"/>
            <w:vAlign w:val="center"/>
          </w:tcPr>
          <w:p>
            <w:pPr>
              <w:spacing w:line="280" w:lineRule="exact"/>
              <w:rPr>
                <w:sz w:val="24"/>
                <w:szCs w:val="24"/>
              </w:rPr>
            </w:pPr>
          </w:p>
        </w:tc>
        <w:tc>
          <w:tcPr>
            <w:tcW w:w="2178" w:type="pct"/>
            <w:shd w:val="clear" w:color="auto" w:fill="auto"/>
            <w:vAlign w:val="center"/>
          </w:tcPr>
          <w:p>
            <w:pPr>
              <w:spacing w:line="280" w:lineRule="exact"/>
              <w:rPr>
                <w:sz w:val="24"/>
                <w:szCs w:val="24"/>
              </w:rPr>
            </w:pPr>
            <w:r>
              <w:rPr>
                <w:rFonts w:hint="eastAsia"/>
                <w:sz w:val="24"/>
                <w:szCs w:val="24"/>
              </w:rPr>
              <w:t xml:space="preserve"> 3.主井提升机提升钩数累加功能于10月29日恢复使用，之前此功能故障未正常使用，不符合《煤矿安全规程》第四条第五款的规定，中央泵房变电所属于独立通风的机电硐室，未设置温度传感器，不符合《煤矿安全监控系统及检测仪器使用管理规范》（AQ1029-2019）第7.7.3的规定，工广下309连采连充工作面第5号、51号支巷为重点区域，出入口处未设置人员位置监测读卡分站，不符合《煤矿安全规程》第五百零四条的规定，安全监控系统未设置局部通风机风筒传感器报警需立即撤人时，自动与应急广播、通信、人员位置监测系统应急联动功能，不符合《煤矿安全监控系统及检测仪器使用管理规范》（AQ1029-2019）第4.10的规定，工广下3煤层309充填工作面液压泵站无压力表，不能查看泵站压力，不符合《国家矿山安全监察局关于开展煤矿顶板管理专项监察的通知》（矿安〔2022〕126号）中“泵站压力要达标”的规定。</w:t>
            </w:r>
          </w:p>
        </w:tc>
        <w:tc>
          <w:tcPr>
            <w:tcW w:w="408" w:type="pct"/>
            <w:shd w:val="clear" w:color="auto" w:fill="auto"/>
            <w:vAlign w:val="center"/>
          </w:tcPr>
          <w:p>
            <w:pPr>
              <w:spacing w:line="280" w:lineRule="exact"/>
              <w:rPr>
                <w:sz w:val="24"/>
                <w:szCs w:val="24"/>
              </w:rPr>
            </w:pPr>
            <w:r>
              <w:rPr>
                <w:rFonts w:hint="eastAsia"/>
                <w:sz w:val="24"/>
                <w:szCs w:val="24"/>
              </w:rPr>
              <w:t>《中华人民共和国安全生产法》第九十九条第二项</w:t>
            </w:r>
          </w:p>
        </w:tc>
        <w:tc>
          <w:tcPr>
            <w:tcW w:w="474" w:type="pct"/>
            <w:shd w:val="clear" w:color="auto" w:fill="auto"/>
            <w:vAlign w:val="center"/>
          </w:tcPr>
          <w:p>
            <w:pPr>
              <w:spacing w:line="280" w:lineRule="exact"/>
              <w:rPr>
                <w:sz w:val="24"/>
                <w:szCs w:val="24"/>
              </w:rPr>
            </w:pPr>
            <w:r>
              <w:rPr>
                <w:rFonts w:hint="eastAsia"/>
                <w:sz w:val="24"/>
                <w:szCs w:val="24"/>
              </w:rPr>
              <w:t>罚款人民币五万元整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spacing w:line="280" w:lineRule="exact"/>
              <w:rPr>
                <w:sz w:val="24"/>
                <w:szCs w:val="24"/>
              </w:rPr>
            </w:pPr>
          </w:p>
        </w:tc>
        <w:tc>
          <w:tcPr>
            <w:tcW w:w="613" w:type="pct"/>
            <w:vMerge w:val="continue"/>
            <w:shd w:val="clear" w:color="auto" w:fill="auto"/>
            <w:vAlign w:val="center"/>
          </w:tcPr>
          <w:p>
            <w:pPr>
              <w:spacing w:line="280" w:lineRule="exact"/>
              <w:rPr>
                <w:sz w:val="24"/>
                <w:szCs w:val="24"/>
              </w:rPr>
            </w:pPr>
          </w:p>
        </w:tc>
        <w:tc>
          <w:tcPr>
            <w:tcW w:w="680" w:type="pct"/>
            <w:vMerge w:val="continue"/>
            <w:shd w:val="clear" w:color="auto" w:fill="auto"/>
            <w:vAlign w:val="center"/>
          </w:tcPr>
          <w:p>
            <w:pPr>
              <w:spacing w:line="280" w:lineRule="exact"/>
              <w:rPr>
                <w:sz w:val="24"/>
                <w:szCs w:val="24"/>
              </w:rPr>
            </w:pPr>
          </w:p>
        </w:tc>
        <w:tc>
          <w:tcPr>
            <w:tcW w:w="396" w:type="pct"/>
            <w:vMerge w:val="continue"/>
            <w:shd w:val="clear" w:color="auto" w:fill="auto"/>
            <w:vAlign w:val="center"/>
          </w:tcPr>
          <w:p>
            <w:pPr>
              <w:spacing w:line="280" w:lineRule="exact"/>
              <w:rPr>
                <w:sz w:val="24"/>
                <w:szCs w:val="24"/>
              </w:rPr>
            </w:pPr>
          </w:p>
        </w:tc>
        <w:tc>
          <w:tcPr>
            <w:tcW w:w="2178" w:type="pct"/>
            <w:shd w:val="clear" w:color="auto" w:fill="auto"/>
            <w:vAlign w:val="center"/>
          </w:tcPr>
          <w:p>
            <w:pPr>
              <w:spacing w:line="280" w:lineRule="exact"/>
              <w:rPr>
                <w:sz w:val="24"/>
                <w:szCs w:val="24"/>
              </w:rPr>
            </w:pPr>
            <w:r>
              <w:rPr>
                <w:rFonts w:hint="eastAsia"/>
                <w:sz w:val="24"/>
                <w:szCs w:val="24"/>
              </w:rPr>
              <w:t>4.工广下309连采连充工作面运输联络巷风门内侧安设有带式输送机机尾及带电控制开关，未根据实际需要配风，不符合《煤矿安全规程》第一百三十六条第一款的规定。</w:t>
            </w:r>
          </w:p>
        </w:tc>
        <w:tc>
          <w:tcPr>
            <w:tcW w:w="408" w:type="pct"/>
            <w:shd w:val="clear" w:color="auto" w:fill="auto"/>
            <w:vAlign w:val="center"/>
          </w:tcPr>
          <w:p>
            <w:pPr>
              <w:spacing w:line="280" w:lineRule="exact"/>
              <w:rPr>
                <w:sz w:val="24"/>
                <w:szCs w:val="24"/>
              </w:rPr>
            </w:pPr>
            <w:r>
              <w:rPr>
                <w:rFonts w:hint="eastAsia"/>
                <w:sz w:val="24"/>
                <w:szCs w:val="24"/>
              </w:rPr>
              <w:t>《中华人民共和国矿山安全法实施条例》第五十四条</w:t>
            </w:r>
          </w:p>
        </w:tc>
        <w:tc>
          <w:tcPr>
            <w:tcW w:w="474" w:type="pct"/>
            <w:shd w:val="clear" w:color="auto" w:fill="auto"/>
            <w:vAlign w:val="center"/>
          </w:tcPr>
          <w:p>
            <w:pPr>
              <w:spacing w:line="280" w:lineRule="exact"/>
              <w:rPr>
                <w:sz w:val="24"/>
                <w:szCs w:val="24"/>
              </w:rPr>
            </w:pPr>
            <w:r>
              <w:rPr>
                <w:rFonts w:hint="eastAsia"/>
                <w:sz w:val="24"/>
                <w:szCs w:val="24"/>
              </w:rPr>
              <w:t>罚款人民币二万元整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spacing w:line="280" w:lineRule="exact"/>
              <w:rPr>
                <w:sz w:val="24"/>
                <w:szCs w:val="24"/>
              </w:rPr>
            </w:pPr>
          </w:p>
        </w:tc>
        <w:tc>
          <w:tcPr>
            <w:tcW w:w="613" w:type="pct"/>
            <w:vMerge w:val="continue"/>
            <w:shd w:val="clear" w:color="auto" w:fill="auto"/>
            <w:vAlign w:val="center"/>
          </w:tcPr>
          <w:p>
            <w:pPr>
              <w:spacing w:line="280" w:lineRule="exact"/>
              <w:rPr>
                <w:sz w:val="24"/>
                <w:szCs w:val="24"/>
              </w:rPr>
            </w:pPr>
          </w:p>
        </w:tc>
        <w:tc>
          <w:tcPr>
            <w:tcW w:w="680" w:type="pct"/>
            <w:vMerge w:val="continue"/>
            <w:shd w:val="clear" w:color="auto" w:fill="auto"/>
            <w:vAlign w:val="center"/>
          </w:tcPr>
          <w:p>
            <w:pPr>
              <w:spacing w:line="280" w:lineRule="exact"/>
              <w:rPr>
                <w:sz w:val="24"/>
                <w:szCs w:val="24"/>
              </w:rPr>
            </w:pPr>
          </w:p>
        </w:tc>
        <w:tc>
          <w:tcPr>
            <w:tcW w:w="396" w:type="pct"/>
            <w:vMerge w:val="continue"/>
            <w:shd w:val="clear" w:color="auto" w:fill="auto"/>
            <w:vAlign w:val="center"/>
          </w:tcPr>
          <w:p>
            <w:pPr>
              <w:spacing w:line="280" w:lineRule="exact"/>
              <w:rPr>
                <w:sz w:val="24"/>
                <w:szCs w:val="24"/>
              </w:rPr>
            </w:pPr>
          </w:p>
        </w:tc>
        <w:tc>
          <w:tcPr>
            <w:tcW w:w="2178" w:type="pct"/>
            <w:shd w:val="clear" w:color="auto" w:fill="auto"/>
            <w:vAlign w:val="center"/>
          </w:tcPr>
          <w:p>
            <w:pPr>
              <w:spacing w:line="280" w:lineRule="exact"/>
              <w:rPr>
                <w:sz w:val="24"/>
                <w:szCs w:val="24"/>
              </w:rPr>
            </w:pPr>
            <w:r>
              <w:rPr>
                <w:rFonts w:hint="eastAsia"/>
                <w:sz w:val="24"/>
                <w:szCs w:val="24"/>
              </w:rPr>
              <w:t>5.矿井采用连采连充方式开采工广下剩余的3煤层，该区域3煤层多为3Ⅰ煤层、3Ⅱ煤层合成煤层，部分分层的3Ⅰ煤层顶板为复合顶，3Ⅰ、3Ⅱ煤层合层区顶板及底板均属不稳定～较稳定，以不稳定为主，目前开采的工广下309连采连充工作面第5号支巷长度67m，断面5m×5m，矿井凭经验仅使用L×Φ=2200mm×18mm等强度螺纹钢锚杆支护顶板，锚杆间排距1.4m×1.4m，从煤层综合柱状图来看，巷道顶板支护锚杆不能保证全部锚固到稳定坚硬岩层中，且巷道内也未安设顶板离层仪，工作面掘进支巷的支护强度整体太弱，加之部分顶板复合顶板的探测不全，存在顶板整体离层冒落的重大风险。新查庄煤矿未按照安全风险分级采取相应的管控措施，不符合《中华人民共和国安全生产法》第四十一条第一款的规定。</w:t>
            </w:r>
          </w:p>
        </w:tc>
        <w:tc>
          <w:tcPr>
            <w:tcW w:w="408" w:type="pct"/>
            <w:shd w:val="clear" w:color="auto" w:fill="auto"/>
            <w:vAlign w:val="center"/>
          </w:tcPr>
          <w:p>
            <w:pPr>
              <w:spacing w:line="280" w:lineRule="exact"/>
              <w:rPr>
                <w:sz w:val="24"/>
                <w:szCs w:val="24"/>
              </w:rPr>
            </w:pPr>
            <w:r>
              <w:rPr>
                <w:rFonts w:hint="eastAsia"/>
                <w:sz w:val="24"/>
                <w:szCs w:val="24"/>
              </w:rPr>
              <w:t>《中华人民共和国安全生产法》第一百零一条第四项</w:t>
            </w:r>
          </w:p>
        </w:tc>
        <w:tc>
          <w:tcPr>
            <w:tcW w:w="474" w:type="pct"/>
            <w:shd w:val="clear" w:color="auto" w:fill="auto"/>
            <w:vAlign w:val="center"/>
          </w:tcPr>
          <w:p>
            <w:pPr>
              <w:spacing w:line="280" w:lineRule="exact"/>
              <w:rPr>
                <w:sz w:val="24"/>
                <w:szCs w:val="24"/>
              </w:rPr>
            </w:pPr>
            <w:r>
              <w:rPr>
                <w:rFonts w:hint="eastAsia"/>
                <w:sz w:val="24"/>
                <w:szCs w:val="24"/>
              </w:rPr>
              <w:t>罚款人民币六万元整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spacing w:line="280" w:lineRule="exact"/>
              <w:rPr>
                <w:sz w:val="24"/>
                <w:szCs w:val="24"/>
              </w:rPr>
            </w:pPr>
          </w:p>
        </w:tc>
        <w:tc>
          <w:tcPr>
            <w:tcW w:w="613" w:type="pct"/>
            <w:vMerge w:val="continue"/>
            <w:shd w:val="clear" w:color="auto" w:fill="auto"/>
            <w:vAlign w:val="center"/>
          </w:tcPr>
          <w:p>
            <w:pPr>
              <w:spacing w:line="280" w:lineRule="exact"/>
              <w:rPr>
                <w:sz w:val="24"/>
                <w:szCs w:val="24"/>
              </w:rPr>
            </w:pPr>
          </w:p>
        </w:tc>
        <w:tc>
          <w:tcPr>
            <w:tcW w:w="680" w:type="pct"/>
            <w:vMerge w:val="continue"/>
            <w:shd w:val="clear" w:color="auto" w:fill="auto"/>
            <w:vAlign w:val="center"/>
          </w:tcPr>
          <w:p>
            <w:pPr>
              <w:spacing w:line="280" w:lineRule="exact"/>
              <w:rPr>
                <w:sz w:val="24"/>
                <w:szCs w:val="24"/>
              </w:rPr>
            </w:pPr>
          </w:p>
        </w:tc>
        <w:tc>
          <w:tcPr>
            <w:tcW w:w="396" w:type="pct"/>
            <w:vMerge w:val="continue"/>
            <w:shd w:val="clear" w:color="auto" w:fill="auto"/>
            <w:vAlign w:val="center"/>
          </w:tcPr>
          <w:p>
            <w:pPr>
              <w:spacing w:line="280" w:lineRule="exact"/>
              <w:rPr>
                <w:sz w:val="24"/>
                <w:szCs w:val="24"/>
              </w:rPr>
            </w:pPr>
          </w:p>
        </w:tc>
        <w:tc>
          <w:tcPr>
            <w:tcW w:w="2178" w:type="pct"/>
            <w:shd w:val="clear" w:color="auto" w:fill="auto"/>
            <w:vAlign w:val="center"/>
          </w:tcPr>
          <w:p>
            <w:pPr>
              <w:spacing w:line="280" w:lineRule="exact"/>
              <w:rPr>
                <w:sz w:val="24"/>
                <w:szCs w:val="24"/>
              </w:rPr>
            </w:pPr>
            <w:r>
              <w:rPr>
                <w:rFonts w:hint="eastAsia"/>
                <w:sz w:val="24"/>
                <w:szCs w:val="24"/>
              </w:rPr>
              <w:t>6.工广下309连采连充工作面第5号支巷是采用锚杆支护形式的煤巷，没有安设顶板离层监测仪进行顶板离层监测，不符合《煤矿安全规程》第一百零二条第三项的规定，8803综采工作面安装的液压支架有4处液压支架顶梁错茬超过侧护板厚度的2/3，不符合《8803综采工作面作业规程》中“支架错茬不超过顶梁侧护板厚度的2/3”的规定，8803综采工作面安装的液压支架有2处液压支架顶梁间距达150mm，不符合《8803综采工作面作业规程》中“液压支架顶梁间距不超过100mm”的规定，8803综采工作面上部有2处液压支架初撑力分别为18MPa、21MPa，不符合《8803综采工作面作业规程》中“液压支架初撑力不低于24MPa”的规定，8803综采工作面溜头处出口第一组液压支架与巷道支护顶梁间距达1.0m，没有进行加强支护，不符合《8803综采工作面作业规程》中“出口处第一组液压支架与巷道支护顶梁间距不大于0.5m，超过规定要及时进行支护”的规定，8805轨道顺槽掘进工作面揭穿落差2.0m的走向正断层，沿断层破碎带施工22m，顶板每排布置3根锚杆，不符合《8805轨道顺槽掘进工作面过断层安全技术措施》中“顶板裂隙发育、破碎、压力大时每排布置4根锚杆”的规定。</w:t>
            </w:r>
          </w:p>
        </w:tc>
        <w:tc>
          <w:tcPr>
            <w:tcW w:w="408" w:type="pct"/>
            <w:shd w:val="clear" w:color="auto" w:fill="auto"/>
            <w:vAlign w:val="center"/>
          </w:tcPr>
          <w:p>
            <w:pPr>
              <w:spacing w:line="280" w:lineRule="exact"/>
              <w:rPr>
                <w:sz w:val="24"/>
                <w:szCs w:val="24"/>
              </w:rPr>
            </w:pPr>
            <w:r>
              <w:rPr>
                <w:rFonts w:hint="eastAsia"/>
                <w:sz w:val="24"/>
                <w:szCs w:val="24"/>
              </w:rPr>
              <w:t>《山东省安全生产条例》第七十六条第一款</w:t>
            </w:r>
          </w:p>
        </w:tc>
        <w:tc>
          <w:tcPr>
            <w:tcW w:w="474" w:type="pct"/>
            <w:shd w:val="clear" w:color="auto" w:fill="auto"/>
            <w:vAlign w:val="center"/>
          </w:tcPr>
          <w:p>
            <w:pPr>
              <w:spacing w:line="280" w:lineRule="exact"/>
              <w:rPr>
                <w:sz w:val="24"/>
                <w:szCs w:val="24"/>
              </w:rPr>
            </w:pPr>
            <w:r>
              <w:rPr>
                <w:rFonts w:hint="eastAsia"/>
                <w:sz w:val="24"/>
                <w:szCs w:val="24"/>
              </w:rPr>
              <w:t>罚款人民币八万元整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spacing w:line="280" w:lineRule="exact"/>
              <w:rPr>
                <w:sz w:val="24"/>
                <w:szCs w:val="24"/>
              </w:rPr>
            </w:pPr>
          </w:p>
        </w:tc>
        <w:tc>
          <w:tcPr>
            <w:tcW w:w="613" w:type="pct"/>
            <w:vMerge w:val="continue"/>
            <w:shd w:val="clear" w:color="auto" w:fill="auto"/>
            <w:vAlign w:val="center"/>
          </w:tcPr>
          <w:p>
            <w:pPr>
              <w:spacing w:line="280" w:lineRule="exact"/>
              <w:rPr>
                <w:sz w:val="24"/>
                <w:szCs w:val="24"/>
              </w:rPr>
            </w:pPr>
          </w:p>
        </w:tc>
        <w:tc>
          <w:tcPr>
            <w:tcW w:w="680" w:type="pct"/>
            <w:vMerge w:val="continue"/>
            <w:shd w:val="clear" w:color="auto" w:fill="auto"/>
            <w:vAlign w:val="center"/>
          </w:tcPr>
          <w:p>
            <w:pPr>
              <w:spacing w:line="280" w:lineRule="exact"/>
              <w:rPr>
                <w:sz w:val="24"/>
                <w:szCs w:val="24"/>
              </w:rPr>
            </w:pPr>
          </w:p>
        </w:tc>
        <w:tc>
          <w:tcPr>
            <w:tcW w:w="396" w:type="pct"/>
            <w:vMerge w:val="continue"/>
            <w:shd w:val="clear" w:color="auto" w:fill="auto"/>
            <w:vAlign w:val="center"/>
          </w:tcPr>
          <w:p>
            <w:pPr>
              <w:spacing w:line="280" w:lineRule="exact"/>
              <w:rPr>
                <w:sz w:val="24"/>
                <w:szCs w:val="24"/>
              </w:rPr>
            </w:pPr>
          </w:p>
        </w:tc>
        <w:tc>
          <w:tcPr>
            <w:tcW w:w="2178" w:type="pct"/>
            <w:shd w:val="clear" w:color="auto" w:fill="auto"/>
            <w:vAlign w:val="center"/>
          </w:tcPr>
          <w:p>
            <w:pPr>
              <w:spacing w:line="280" w:lineRule="exact"/>
              <w:rPr>
                <w:sz w:val="24"/>
                <w:szCs w:val="24"/>
              </w:rPr>
            </w:pPr>
            <w:r>
              <w:rPr>
                <w:rFonts w:hint="eastAsia"/>
                <w:sz w:val="24"/>
                <w:szCs w:val="24"/>
              </w:rPr>
              <w:t>7.抽查职工定位识别卡井下行动轨迹时发现，工广下309运输顺槽部分区段精确定位数据于2022年11月7日23:10至8日7:40出现上传数据中断，该时段出现江新涛等多名职工轨迹数据缺失，值班人员未发现该故障，未采取措施及时处置，不符合《煤矿安全规程》第四百九十四条的规定。</w:t>
            </w:r>
          </w:p>
        </w:tc>
        <w:tc>
          <w:tcPr>
            <w:tcW w:w="408" w:type="pct"/>
            <w:shd w:val="clear" w:color="auto" w:fill="auto"/>
            <w:vAlign w:val="center"/>
          </w:tcPr>
          <w:p>
            <w:pPr>
              <w:spacing w:line="280" w:lineRule="exact"/>
              <w:rPr>
                <w:sz w:val="24"/>
                <w:szCs w:val="24"/>
              </w:rPr>
            </w:pPr>
            <w:r>
              <w:rPr>
                <w:rFonts w:hint="eastAsia"/>
                <w:sz w:val="24"/>
                <w:szCs w:val="24"/>
              </w:rPr>
              <w:t>《中华人民共和国安全生产法》第九十九条第二项</w:t>
            </w:r>
          </w:p>
        </w:tc>
        <w:tc>
          <w:tcPr>
            <w:tcW w:w="474" w:type="pct"/>
            <w:shd w:val="clear" w:color="auto" w:fill="auto"/>
            <w:vAlign w:val="center"/>
          </w:tcPr>
          <w:p>
            <w:pPr>
              <w:spacing w:line="280" w:lineRule="exact"/>
              <w:rPr>
                <w:sz w:val="24"/>
                <w:szCs w:val="24"/>
              </w:rPr>
            </w:pPr>
            <w:r>
              <w:rPr>
                <w:rFonts w:hint="eastAsia"/>
                <w:sz w:val="24"/>
                <w:szCs w:val="24"/>
              </w:rPr>
              <w:t>罚款人民币二万元整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shd w:val="clear" w:color="auto" w:fill="auto"/>
            <w:vAlign w:val="center"/>
          </w:tcPr>
          <w:p>
            <w:pPr>
              <w:spacing w:line="280" w:lineRule="exact"/>
              <w:rPr>
                <w:sz w:val="24"/>
                <w:szCs w:val="24"/>
              </w:rPr>
            </w:pPr>
            <w:r>
              <w:rPr>
                <w:rFonts w:hint="eastAsia"/>
                <w:sz w:val="24"/>
                <w:szCs w:val="24"/>
              </w:rPr>
              <w:t>2</w:t>
            </w:r>
          </w:p>
        </w:tc>
        <w:tc>
          <w:tcPr>
            <w:tcW w:w="613" w:type="pct"/>
            <w:shd w:val="clear" w:color="auto" w:fill="auto"/>
            <w:vAlign w:val="center"/>
          </w:tcPr>
          <w:p>
            <w:pPr>
              <w:spacing w:line="280" w:lineRule="exact"/>
              <w:rPr>
                <w:sz w:val="24"/>
                <w:szCs w:val="24"/>
              </w:rPr>
            </w:pPr>
            <w:r>
              <w:rPr>
                <w:rFonts w:hint="eastAsia"/>
                <w:sz w:val="24"/>
                <w:szCs w:val="24"/>
              </w:rPr>
              <w:t>2022年12月5日</w:t>
            </w:r>
          </w:p>
        </w:tc>
        <w:tc>
          <w:tcPr>
            <w:tcW w:w="680" w:type="pct"/>
            <w:shd w:val="clear" w:color="auto" w:fill="auto"/>
            <w:vAlign w:val="center"/>
          </w:tcPr>
          <w:p>
            <w:pPr>
              <w:spacing w:line="280" w:lineRule="exact"/>
              <w:jc w:val="center"/>
              <w:rPr>
                <w:sz w:val="24"/>
                <w:szCs w:val="24"/>
              </w:rPr>
            </w:pPr>
            <w:r>
              <w:rPr>
                <w:sz w:val="24"/>
                <w:szCs w:val="24"/>
              </w:rPr>
              <w:t>国家矿山安全监察局山东局</w:t>
            </w:r>
          </w:p>
        </w:tc>
        <w:tc>
          <w:tcPr>
            <w:tcW w:w="396" w:type="pct"/>
            <w:shd w:val="clear" w:color="auto" w:fill="auto"/>
            <w:vAlign w:val="center"/>
          </w:tcPr>
          <w:p>
            <w:pPr>
              <w:spacing w:line="280" w:lineRule="exact"/>
              <w:jc w:val="center"/>
              <w:rPr>
                <w:sz w:val="24"/>
                <w:szCs w:val="24"/>
              </w:rPr>
            </w:pPr>
            <w:r>
              <w:rPr>
                <w:rFonts w:hint="eastAsia"/>
                <w:sz w:val="24"/>
                <w:szCs w:val="24"/>
              </w:rPr>
              <w:t>高某某</w:t>
            </w:r>
          </w:p>
        </w:tc>
        <w:tc>
          <w:tcPr>
            <w:tcW w:w="2178" w:type="pct"/>
            <w:shd w:val="clear" w:color="auto" w:fill="auto"/>
            <w:vAlign w:val="center"/>
          </w:tcPr>
          <w:p>
            <w:pPr>
              <w:spacing w:line="280" w:lineRule="exact"/>
              <w:rPr>
                <w:sz w:val="24"/>
                <w:szCs w:val="24"/>
              </w:rPr>
            </w:pPr>
            <w:r>
              <w:rPr>
                <w:sz w:val="24"/>
                <w:szCs w:val="24"/>
              </w:rPr>
              <w:t>工广下8煤轨道巷掘进工作面（停掘）安设的风筒传感器型号为500mm，但风筒型号为600mm型号，且现场未按操作规程试验传感器风电闭锁功能，造成风筒传感器误动作，无法实现可靠的风电闭锁，不符合《煤矿安全规程》第八条第三款的规定</w:t>
            </w:r>
            <w:r>
              <w:rPr>
                <w:rFonts w:hint="eastAsia"/>
                <w:sz w:val="24"/>
                <w:szCs w:val="24"/>
              </w:rPr>
              <w:t>。</w:t>
            </w:r>
            <w:r>
              <w:rPr>
                <w:sz w:val="24"/>
                <w:szCs w:val="24"/>
              </w:rPr>
              <w:t xml:space="preserve"> </w:t>
            </w:r>
          </w:p>
        </w:tc>
        <w:tc>
          <w:tcPr>
            <w:tcW w:w="408" w:type="pct"/>
            <w:shd w:val="clear" w:color="auto" w:fill="auto"/>
            <w:vAlign w:val="center"/>
          </w:tcPr>
          <w:p>
            <w:pPr>
              <w:spacing w:line="280" w:lineRule="exact"/>
              <w:rPr>
                <w:sz w:val="24"/>
                <w:szCs w:val="24"/>
              </w:rPr>
            </w:pPr>
            <w:r>
              <w:rPr>
                <w:rFonts w:hint="eastAsia"/>
                <w:sz w:val="24"/>
                <w:szCs w:val="24"/>
              </w:rPr>
              <w:t xml:space="preserve">《安全生产违法行为行政处罚办法》第四十五条第一项 </w:t>
            </w:r>
          </w:p>
        </w:tc>
        <w:tc>
          <w:tcPr>
            <w:tcW w:w="474" w:type="pct"/>
            <w:shd w:val="clear" w:color="auto" w:fill="auto"/>
            <w:vAlign w:val="center"/>
          </w:tcPr>
          <w:p>
            <w:pPr>
              <w:spacing w:line="280" w:lineRule="exact"/>
              <w:rPr>
                <w:sz w:val="24"/>
                <w:szCs w:val="24"/>
              </w:rPr>
            </w:pPr>
            <w:r>
              <w:rPr>
                <w:rFonts w:hint="eastAsia"/>
                <w:sz w:val="24"/>
                <w:szCs w:val="24"/>
              </w:rPr>
              <w:t>警告，罚款人民币五千元整</w:t>
            </w:r>
          </w:p>
        </w:tc>
      </w:tr>
    </w:tbl>
    <w:p>
      <w:pPr>
        <w:spacing w:line="560" w:lineRule="exact"/>
        <w:jc w:val="center"/>
        <w:rPr>
          <w:rFonts w:ascii="方正小标宋简体" w:eastAsia="方正小标宋简体"/>
          <w:szCs w:val="32"/>
        </w:rPr>
      </w:pPr>
    </w:p>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YjQ5MjVmZmI1NjdiOWVlZTZkZTkyMTZjMDRlMTcifQ=="/>
  </w:docVars>
  <w:rsids>
    <w:rsidRoot w:val="00352564"/>
    <w:rsid w:val="00000958"/>
    <w:rsid w:val="000038CB"/>
    <w:rsid w:val="0002011E"/>
    <w:rsid w:val="00023B1E"/>
    <w:rsid w:val="0002759F"/>
    <w:rsid w:val="00030B52"/>
    <w:rsid w:val="00032F9B"/>
    <w:rsid w:val="00040897"/>
    <w:rsid w:val="00040CAD"/>
    <w:rsid w:val="00044DFB"/>
    <w:rsid w:val="00044FDD"/>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664"/>
    <w:rsid w:val="000B0B64"/>
    <w:rsid w:val="000B3183"/>
    <w:rsid w:val="000B51F4"/>
    <w:rsid w:val="000B5B01"/>
    <w:rsid w:val="000B65F4"/>
    <w:rsid w:val="000C0D7C"/>
    <w:rsid w:val="000C1B32"/>
    <w:rsid w:val="000C31D9"/>
    <w:rsid w:val="000D1E0B"/>
    <w:rsid w:val="000D34D5"/>
    <w:rsid w:val="000D70CA"/>
    <w:rsid w:val="000E6982"/>
    <w:rsid w:val="000F19FC"/>
    <w:rsid w:val="000F3585"/>
    <w:rsid w:val="000F4246"/>
    <w:rsid w:val="000F464E"/>
    <w:rsid w:val="001118E9"/>
    <w:rsid w:val="00112A0C"/>
    <w:rsid w:val="00114F83"/>
    <w:rsid w:val="00116873"/>
    <w:rsid w:val="0012396A"/>
    <w:rsid w:val="00126D63"/>
    <w:rsid w:val="00132656"/>
    <w:rsid w:val="00132D2E"/>
    <w:rsid w:val="001345DF"/>
    <w:rsid w:val="00134E50"/>
    <w:rsid w:val="001442EF"/>
    <w:rsid w:val="0014512A"/>
    <w:rsid w:val="00146127"/>
    <w:rsid w:val="001518D6"/>
    <w:rsid w:val="00151DC2"/>
    <w:rsid w:val="001659F1"/>
    <w:rsid w:val="001667D7"/>
    <w:rsid w:val="00171BBC"/>
    <w:rsid w:val="00172043"/>
    <w:rsid w:val="00184E84"/>
    <w:rsid w:val="00187475"/>
    <w:rsid w:val="00191379"/>
    <w:rsid w:val="00194C5E"/>
    <w:rsid w:val="00196A40"/>
    <w:rsid w:val="001A03F8"/>
    <w:rsid w:val="001A2E2B"/>
    <w:rsid w:val="001A3143"/>
    <w:rsid w:val="001B356E"/>
    <w:rsid w:val="001B7AE6"/>
    <w:rsid w:val="001C202F"/>
    <w:rsid w:val="001C3848"/>
    <w:rsid w:val="001C3D43"/>
    <w:rsid w:val="001C4C0B"/>
    <w:rsid w:val="001D069E"/>
    <w:rsid w:val="001D2511"/>
    <w:rsid w:val="001D2AA3"/>
    <w:rsid w:val="001D6D67"/>
    <w:rsid w:val="001D789E"/>
    <w:rsid w:val="001E4513"/>
    <w:rsid w:val="001E51BC"/>
    <w:rsid w:val="001E6A87"/>
    <w:rsid w:val="001E79F9"/>
    <w:rsid w:val="001F28E2"/>
    <w:rsid w:val="001F384F"/>
    <w:rsid w:val="001F4F10"/>
    <w:rsid w:val="001F7D1A"/>
    <w:rsid w:val="002003D7"/>
    <w:rsid w:val="0020225C"/>
    <w:rsid w:val="00205080"/>
    <w:rsid w:val="00214D20"/>
    <w:rsid w:val="00215A8B"/>
    <w:rsid w:val="00220983"/>
    <w:rsid w:val="00223286"/>
    <w:rsid w:val="00224EB5"/>
    <w:rsid w:val="00234F8D"/>
    <w:rsid w:val="00236835"/>
    <w:rsid w:val="00236E5A"/>
    <w:rsid w:val="002427AE"/>
    <w:rsid w:val="002462D5"/>
    <w:rsid w:val="00247EE4"/>
    <w:rsid w:val="00250183"/>
    <w:rsid w:val="00252103"/>
    <w:rsid w:val="002608A8"/>
    <w:rsid w:val="0026212F"/>
    <w:rsid w:val="00263B0C"/>
    <w:rsid w:val="00265CCC"/>
    <w:rsid w:val="00270892"/>
    <w:rsid w:val="00275D41"/>
    <w:rsid w:val="00276580"/>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307B16"/>
    <w:rsid w:val="00324CAA"/>
    <w:rsid w:val="00325E3D"/>
    <w:rsid w:val="00326DE2"/>
    <w:rsid w:val="00333CE1"/>
    <w:rsid w:val="00334A7B"/>
    <w:rsid w:val="00336645"/>
    <w:rsid w:val="00346157"/>
    <w:rsid w:val="00351296"/>
    <w:rsid w:val="00351335"/>
    <w:rsid w:val="00352564"/>
    <w:rsid w:val="00364184"/>
    <w:rsid w:val="0036757A"/>
    <w:rsid w:val="003677AC"/>
    <w:rsid w:val="0037258F"/>
    <w:rsid w:val="00375C7E"/>
    <w:rsid w:val="0037650D"/>
    <w:rsid w:val="003803DE"/>
    <w:rsid w:val="003832CF"/>
    <w:rsid w:val="00387981"/>
    <w:rsid w:val="003914B1"/>
    <w:rsid w:val="00396DD5"/>
    <w:rsid w:val="003A149B"/>
    <w:rsid w:val="003B0C97"/>
    <w:rsid w:val="003B1C32"/>
    <w:rsid w:val="003B3C1E"/>
    <w:rsid w:val="003B6487"/>
    <w:rsid w:val="003C0FE5"/>
    <w:rsid w:val="003C214A"/>
    <w:rsid w:val="003C69DA"/>
    <w:rsid w:val="003D26D5"/>
    <w:rsid w:val="003D56D4"/>
    <w:rsid w:val="003E0A63"/>
    <w:rsid w:val="003E5F2B"/>
    <w:rsid w:val="003F2D84"/>
    <w:rsid w:val="003F7878"/>
    <w:rsid w:val="00404B4D"/>
    <w:rsid w:val="00405BB0"/>
    <w:rsid w:val="00405C26"/>
    <w:rsid w:val="004079A0"/>
    <w:rsid w:val="00407B8B"/>
    <w:rsid w:val="00414589"/>
    <w:rsid w:val="0042077D"/>
    <w:rsid w:val="004322AA"/>
    <w:rsid w:val="00441584"/>
    <w:rsid w:val="00443351"/>
    <w:rsid w:val="0044589E"/>
    <w:rsid w:val="004458B9"/>
    <w:rsid w:val="00451DA6"/>
    <w:rsid w:val="00455EF7"/>
    <w:rsid w:val="00460A05"/>
    <w:rsid w:val="00465548"/>
    <w:rsid w:val="00470804"/>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E4A66"/>
    <w:rsid w:val="004E5115"/>
    <w:rsid w:val="0050222E"/>
    <w:rsid w:val="00504F76"/>
    <w:rsid w:val="005063B2"/>
    <w:rsid w:val="0050685F"/>
    <w:rsid w:val="0051098B"/>
    <w:rsid w:val="0051352D"/>
    <w:rsid w:val="0053063F"/>
    <w:rsid w:val="0053383A"/>
    <w:rsid w:val="0053590C"/>
    <w:rsid w:val="0053590F"/>
    <w:rsid w:val="00542E89"/>
    <w:rsid w:val="00544960"/>
    <w:rsid w:val="00544D11"/>
    <w:rsid w:val="005457D6"/>
    <w:rsid w:val="00546F1B"/>
    <w:rsid w:val="005531A5"/>
    <w:rsid w:val="00555753"/>
    <w:rsid w:val="00561938"/>
    <w:rsid w:val="00563C40"/>
    <w:rsid w:val="00564193"/>
    <w:rsid w:val="00566646"/>
    <w:rsid w:val="00566D53"/>
    <w:rsid w:val="0057038B"/>
    <w:rsid w:val="00571CE5"/>
    <w:rsid w:val="005743C9"/>
    <w:rsid w:val="005760F2"/>
    <w:rsid w:val="00576F70"/>
    <w:rsid w:val="005776B5"/>
    <w:rsid w:val="005776BB"/>
    <w:rsid w:val="00584D9C"/>
    <w:rsid w:val="00586939"/>
    <w:rsid w:val="005869C9"/>
    <w:rsid w:val="00587CC4"/>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6BBC"/>
    <w:rsid w:val="005F77A6"/>
    <w:rsid w:val="0060129F"/>
    <w:rsid w:val="00606357"/>
    <w:rsid w:val="00607A50"/>
    <w:rsid w:val="00610665"/>
    <w:rsid w:val="006147F0"/>
    <w:rsid w:val="00616EB6"/>
    <w:rsid w:val="0062513B"/>
    <w:rsid w:val="00634F6B"/>
    <w:rsid w:val="006370C0"/>
    <w:rsid w:val="006418D0"/>
    <w:rsid w:val="00641B2D"/>
    <w:rsid w:val="00655424"/>
    <w:rsid w:val="00661A1C"/>
    <w:rsid w:val="00662FE4"/>
    <w:rsid w:val="0066485F"/>
    <w:rsid w:val="0066511A"/>
    <w:rsid w:val="00665B52"/>
    <w:rsid w:val="00671A20"/>
    <w:rsid w:val="0067523F"/>
    <w:rsid w:val="00687FEE"/>
    <w:rsid w:val="0069304C"/>
    <w:rsid w:val="00697758"/>
    <w:rsid w:val="006A0CF1"/>
    <w:rsid w:val="006A397E"/>
    <w:rsid w:val="006A501E"/>
    <w:rsid w:val="006B60CF"/>
    <w:rsid w:val="006C0612"/>
    <w:rsid w:val="006C1A6C"/>
    <w:rsid w:val="006C6D2D"/>
    <w:rsid w:val="006C6E70"/>
    <w:rsid w:val="006D0490"/>
    <w:rsid w:val="006D0B5A"/>
    <w:rsid w:val="006D1D0E"/>
    <w:rsid w:val="006D61BD"/>
    <w:rsid w:val="006D759D"/>
    <w:rsid w:val="006D7DA6"/>
    <w:rsid w:val="006E076B"/>
    <w:rsid w:val="006E4CF8"/>
    <w:rsid w:val="006E6964"/>
    <w:rsid w:val="006E73C4"/>
    <w:rsid w:val="006F0E49"/>
    <w:rsid w:val="006F15BC"/>
    <w:rsid w:val="006F38FC"/>
    <w:rsid w:val="006F6FA4"/>
    <w:rsid w:val="006F7FD7"/>
    <w:rsid w:val="00702D54"/>
    <w:rsid w:val="00704DE4"/>
    <w:rsid w:val="0070514E"/>
    <w:rsid w:val="00706D13"/>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1AB1"/>
    <w:rsid w:val="007A6092"/>
    <w:rsid w:val="007A713B"/>
    <w:rsid w:val="007B0D4B"/>
    <w:rsid w:val="007B1FF0"/>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20C1D"/>
    <w:rsid w:val="00821199"/>
    <w:rsid w:val="00823033"/>
    <w:rsid w:val="00835A12"/>
    <w:rsid w:val="00840FBF"/>
    <w:rsid w:val="00842BC4"/>
    <w:rsid w:val="00843FA6"/>
    <w:rsid w:val="008442A1"/>
    <w:rsid w:val="00844EE0"/>
    <w:rsid w:val="008476C3"/>
    <w:rsid w:val="00847C54"/>
    <w:rsid w:val="00856433"/>
    <w:rsid w:val="008629EA"/>
    <w:rsid w:val="00862D2D"/>
    <w:rsid w:val="00863BEF"/>
    <w:rsid w:val="00865B9E"/>
    <w:rsid w:val="00873859"/>
    <w:rsid w:val="00873C49"/>
    <w:rsid w:val="00883D66"/>
    <w:rsid w:val="0088713D"/>
    <w:rsid w:val="008871C5"/>
    <w:rsid w:val="008916E9"/>
    <w:rsid w:val="00891B17"/>
    <w:rsid w:val="00892223"/>
    <w:rsid w:val="0089737B"/>
    <w:rsid w:val="008A04E5"/>
    <w:rsid w:val="008A05A7"/>
    <w:rsid w:val="008A544F"/>
    <w:rsid w:val="008B4312"/>
    <w:rsid w:val="008B56B6"/>
    <w:rsid w:val="008C1570"/>
    <w:rsid w:val="008C2C43"/>
    <w:rsid w:val="008C3540"/>
    <w:rsid w:val="008C7D77"/>
    <w:rsid w:val="008D2914"/>
    <w:rsid w:val="008D3B6F"/>
    <w:rsid w:val="008D74AE"/>
    <w:rsid w:val="008D7E72"/>
    <w:rsid w:val="008E6276"/>
    <w:rsid w:val="008F388D"/>
    <w:rsid w:val="008F4106"/>
    <w:rsid w:val="008F432B"/>
    <w:rsid w:val="008F498B"/>
    <w:rsid w:val="009039FB"/>
    <w:rsid w:val="00904799"/>
    <w:rsid w:val="00910663"/>
    <w:rsid w:val="00911DC1"/>
    <w:rsid w:val="009124C6"/>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C582D"/>
    <w:rsid w:val="009C6E87"/>
    <w:rsid w:val="009D32F4"/>
    <w:rsid w:val="009D3381"/>
    <w:rsid w:val="009D43BA"/>
    <w:rsid w:val="009D57F7"/>
    <w:rsid w:val="009D76E2"/>
    <w:rsid w:val="009E32BA"/>
    <w:rsid w:val="009E4F7A"/>
    <w:rsid w:val="009E6957"/>
    <w:rsid w:val="009E7105"/>
    <w:rsid w:val="009F5D3F"/>
    <w:rsid w:val="00A12588"/>
    <w:rsid w:val="00A13156"/>
    <w:rsid w:val="00A1406B"/>
    <w:rsid w:val="00A17384"/>
    <w:rsid w:val="00A22C45"/>
    <w:rsid w:val="00A25B48"/>
    <w:rsid w:val="00A27678"/>
    <w:rsid w:val="00A309AC"/>
    <w:rsid w:val="00A34691"/>
    <w:rsid w:val="00A35CB4"/>
    <w:rsid w:val="00A35EF2"/>
    <w:rsid w:val="00A36FEA"/>
    <w:rsid w:val="00A37850"/>
    <w:rsid w:val="00A465CA"/>
    <w:rsid w:val="00A46BF5"/>
    <w:rsid w:val="00A509FB"/>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A0EED"/>
    <w:rsid w:val="00AA1F13"/>
    <w:rsid w:val="00AA4076"/>
    <w:rsid w:val="00AA4081"/>
    <w:rsid w:val="00AB025E"/>
    <w:rsid w:val="00AB3019"/>
    <w:rsid w:val="00AC3E0E"/>
    <w:rsid w:val="00AC4643"/>
    <w:rsid w:val="00AD6A77"/>
    <w:rsid w:val="00AE0896"/>
    <w:rsid w:val="00AE3D1B"/>
    <w:rsid w:val="00AE4C0E"/>
    <w:rsid w:val="00AE4F4C"/>
    <w:rsid w:val="00AF4A72"/>
    <w:rsid w:val="00B05DBF"/>
    <w:rsid w:val="00B064EB"/>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1216E"/>
    <w:rsid w:val="00C22B3E"/>
    <w:rsid w:val="00C27691"/>
    <w:rsid w:val="00C336AB"/>
    <w:rsid w:val="00C40159"/>
    <w:rsid w:val="00C443B7"/>
    <w:rsid w:val="00C4593C"/>
    <w:rsid w:val="00C56103"/>
    <w:rsid w:val="00C607B5"/>
    <w:rsid w:val="00C60D10"/>
    <w:rsid w:val="00C640C8"/>
    <w:rsid w:val="00C64F5D"/>
    <w:rsid w:val="00C65E6D"/>
    <w:rsid w:val="00C719BC"/>
    <w:rsid w:val="00C73F52"/>
    <w:rsid w:val="00C75A2A"/>
    <w:rsid w:val="00C76FAE"/>
    <w:rsid w:val="00C80B50"/>
    <w:rsid w:val="00C84561"/>
    <w:rsid w:val="00C8501C"/>
    <w:rsid w:val="00C863A0"/>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E2376"/>
    <w:rsid w:val="00CE36F1"/>
    <w:rsid w:val="00CF07B2"/>
    <w:rsid w:val="00CF3FB8"/>
    <w:rsid w:val="00D01D6D"/>
    <w:rsid w:val="00D03EBF"/>
    <w:rsid w:val="00D10384"/>
    <w:rsid w:val="00D12EEB"/>
    <w:rsid w:val="00D216CA"/>
    <w:rsid w:val="00D235A0"/>
    <w:rsid w:val="00D24FF3"/>
    <w:rsid w:val="00D25051"/>
    <w:rsid w:val="00D32E61"/>
    <w:rsid w:val="00D37169"/>
    <w:rsid w:val="00D37619"/>
    <w:rsid w:val="00D40100"/>
    <w:rsid w:val="00D464B4"/>
    <w:rsid w:val="00D47119"/>
    <w:rsid w:val="00D524D4"/>
    <w:rsid w:val="00D54B9F"/>
    <w:rsid w:val="00D628A8"/>
    <w:rsid w:val="00D665DA"/>
    <w:rsid w:val="00D66D1A"/>
    <w:rsid w:val="00D7485E"/>
    <w:rsid w:val="00D74CCC"/>
    <w:rsid w:val="00D80D3B"/>
    <w:rsid w:val="00D8422D"/>
    <w:rsid w:val="00D85C53"/>
    <w:rsid w:val="00D875BC"/>
    <w:rsid w:val="00D8799D"/>
    <w:rsid w:val="00D90896"/>
    <w:rsid w:val="00D92FB3"/>
    <w:rsid w:val="00D93E5E"/>
    <w:rsid w:val="00DA0E3C"/>
    <w:rsid w:val="00DA1AAB"/>
    <w:rsid w:val="00DA2558"/>
    <w:rsid w:val="00DA53AA"/>
    <w:rsid w:val="00DA60CA"/>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6A19"/>
    <w:rsid w:val="00DF779B"/>
    <w:rsid w:val="00E02526"/>
    <w:rsid w:val="00E06902"/>
    <w:rsid w:val="00E07AC1"/>
    <w:rsid w:val="00E102CC"/>
    <w:rsid w:val="00E1238D"/>
    <w:rsid w:val="00E201A8"/>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233B"/>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D7"/>
    <w:rsid w:val="00EB26E3"/>
    <w:rsid w:val="00EB5B4D"/>
    <w:rsid w:val="00EB7542"/>
    <w:rsid w:val="00EB7F76"/>
    <w:rsid w:val="00EB7FB2"/>
    <w:rsid w:val="00EC6968"/>
    <w:rsid w:val="00ED5653"/>
    <w:rsid w:val="00EE243D"/>
    <w:rsid w:val="00EE6C02"/>
    <w:rsid w:val="00EE7A6A"/>
    <w:rsid w:val="00EF18DB"/>
    <w:rsid w:val="00EF607F"/>
    <w:rsid w:val="00F04D2C"/>
    <w:rsid w:val="00F07D98"/>
    <w:rsid w:val="00F117C0"/>
    <w:rsid w:val="00F13F10"/>
    <w:rsid w:val="00F16BA6"/>
    <w:rsid w:val="00F17444"/>
    <w:rsid w:val="00F25547"/>
    <w:rsid w:val="00F26316"/>
    <w:rsid w:val="00F304F9"/>
    <w:rsid w:val="00F333DB"/>
    <w:rsid w:val="00F33EA8"/>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80AD7"/>
    <w:rsid w:val="00F84A48"/>
    <w:rsid w:val="00F85253"/>
    <w:rsid w:val="00F904F5"/>
    <w:rsid w:val="00F92A1F"/>
    <w:rsid w:val="00F93129"/>
    <w:rsid w:val="00F9753C"/>
    <w:rsid w:val="00FA1692"/>
    <w:rsid w:val="00FA29F2"/>
    <w:rsid w:val="00FA5FD0"/>
    <w:rsid w:val="00FB035C"/>
    <w:rsid w:val="00FB4270"/>
    <w:rsid w:val="00FC123F"/>
    <w:rsid w:val="00FC3F95"/>
    <w:rsid w:val="00FC55F6"/>
    <w:rsid w:val="00FD06BF"/>
    <w:rsid w:val="00FD76F2"/>
    <w:rsid w:val="00FE22DE"/>
    <w:rsid w:val="00FE2D51"/>
    <w:rsid w:val="00FE3B03"/>
    <w:rsid w:val="00FE4DFE"/>
    <w:rsid w:val="00FF0149"/>
    <w:rsid w:val="00FF3B1B"/>
    <w:rsid w:val="00FF3F3F"/>
    <w:rsid w:val="2506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等线" w:hAnsi="等线" w:eastAsia="仿宋_GB2312" w:cs="Times New Roman"/>
      <w:sz w:val="18"/>
      <w:szCs w:val="18"/>
    </w:rPr>
  </w:style>
  <w:style w:type="character" w:customStyle="1" w:styleId="7">
    <w:name w:val="页脚 字符"/>
    <w:basedOn w:val="5"/>
    <w:link w:val="2"/>
    <w:qFormat/>
    <w:uiPriority w:val="99"/>
    <w:rPr>
      <w:rFonts w:ascii="等线" w:hAnsi="等线"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2173</Words>
  <Characters>2372</Characters>
  <Lines>17</Lines>
  <Paragraphs>5</Paragraphs>
  <TotalTime>9</TotalTime>
  <ScaleCrop>false</ScaleCrop>
  <LinksUpToDate>false</LinksUpToDate>
  <CharactersWithSpaces>2414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2022-12-05T23:02:00Z</dcterms:created>
  <dc:creator>李为忠</dc:creator>
  <cp:lastModifiedBy>李澎</cp:lastModifiedBy>
  <dcterms:modified xsi:type="dcterms:W3CDTF">2022-12-07T00:40:48Z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447BC761AA534BF4A0F4CAC489DBCD3D</vt:lpwstr>
  </property>
</Properties>
</file>