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_GB2312" w:hAnsi="等线"/>
          <w:szCs w:val="32"/>
        </w:rPr>
      </w:pPr>
      <w:r>
        <w:rPr>
          <w:rFonts w:hint="eastAsia" w:ascii="仿宋_GB2312" w:hAnsi="等线"/>
          <w:szCs w:val="32"/>
        </w:rPr>
        <w:t>附件</w:t>
      </w:r>
    </w:p>
    <w:p>
      <w:pPr>
        <w:spacing w:line="600" w:lineRule="exact"/>
        <w:jc w:val="center"/>
        <w:rPr>
          <w:rFonts w:ascii="方正小标宋简体" w:hAnsi="等线" w:eastAsia="方正小标宋简体"/>
          <w:szCs w:val="32"/>
        </w:rPr>
        <w:sectPr>
          <w:footerReference r:id="rId3" w:type="default"/>
          <w:footerReference r:id="rId4" w:type="even"/>
          <w:pgSz w:w="16840" w:h="11907" w:orient="landscape"/>
          <w:pgMar w:top="1588" w:right="2098" w:bottom="1474" w:left="1985" w:header="851" w:footer="992" w:gutter="0"/>
          <w:cols w:space="720" w:num="1"/>
          <w:docGrid w:type="lines" w:linePitch="579" w:charSpace="-842"/>
        </w:sectPr>
      </w:pPr>
      <w:bookmarkStart w:id="0" w:name="_GoBack"/>
      <w:r>
        <w:rPr>
          <w:rFonts w:hint="eastAsia" w:ascii="方正小标宋简体" w:hAnsi="等线" w:eastAsia="方正小标宋简体"/>
          <w:szCs w:val="32"/>
        </w:rPr>
        <w:t>监察执法五处2022年第24批行政处罚信息公开表</w:t>
      </w:r>
    </w:p>
    <w:bookmarkEnd w:id="0"/>
    <w:tbl>
      <w:tblPr>
        <w:tblStyle w:val="3"/>
        <w:tblpPr w:leftFromText="180" w:rightFromText="180" w:vertAnchor="page" w:horzAnchor="margin" w:tblpXSpec="center" w:tblpY="2890"/>
        <w:tblW w:w="14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394"/>
        <w:gridCol w:w="1220"/>
        <w:gridCol w:w="1330"/>
        <w:gridCol w:w="6630"/>
        <w:gridCol w:w="1618"/>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6" w:type="dxa"/>
            <w:vAlign w:val="center"/>
          </w:tcPr>
          <w:p>
            <w:pPr>
              <w:spacing w:line="440" w:lineRule="exact"/>
              <w:jc w:val="center"/>
              <w:rPr>
                <w:rFonts w:ascii="仿宋_GB2312" w:hAnsi="仿宋"/>
                <w:szCs w:val="32"/>
              </w:rPr>
            </w:pPr>
            <w:r>
              <w:rPr>
                <w:rFonts w:hint="eastAsia" w:ascii="黑体" w:hAnsi="宋体" w:eastAsia="黑体" w:cs="宋体"/>
                <w:kern w:val="0"/>
                <w:sz w:val="24"/>
              </w:rPr>
              <w:t>序号</w:t>
            </w:r>
          </w:p>
        </w:tc>
        <w:tc>
          <w:tcPr>
            <w:tcW w:w="1394" w:type="dxa"/>
            <w:vAlign w:val="center"/>
          </w:tcPr>
          <w:p>
            <w:pPr>
              <w:spacing w:line="440" w:lineRule="exact"/>
              <w:ind w:firstLine="118" w:firstLineChars="50"/>
              <w:jc w:val="center"/>
              <w:rPr>
                <w:rFonts w:ascii="仿宋_GB2312" w:hAnsi="仿宋"/>
                <w:szCs w:val="32"/>
              </w:rPr>
            </w:pPr>
            <w:r>
              <w:rPr>
                <w:rFonts w:hint="eastAsia" w:ascii="黑体" w:hAnsi="宋体" w:eastAsia="黑体" w:cs="宋体"/>
                <w:kern w:val="0"/>
                <w:sz w:val="24"/>
              </w:rPr>
              <w:t>执法决定日期</w:t>
            </w:r>
          </w:p>
        </w:tc>
        <w:tc>
          <w:tcPr>
            <w:tcW w:w="1220" w:type="dxa"/>
            <w:vAlign w:val="center"/>
          </w:tcPr>
          <w:p>
            <w:pPr>
              <w:spacing w:line="440" w:lineRule="exact"/>
              <w:jc w:val="center"/>
              <w:rPr>
                <w:rFonts w:ascii="仿宋_GB2312" w:hAnsi="仿宋"/>
                <w:szCs w:val="32"/>
              </w:rPr>
            </w:pPr>
            <w:r>
              <w:rPr>
                <w:rFonts w:hint="eastAsia" w:ascii="黑体" w:hAnsi="宋体" w:eastAsia="黑体" w:cs="宋体"/>
                <w:kern w:val="0"/>
                <w:sz w:val="24"/>
              </w:rPr>
              <w:t>执法主体</w:t>
            </w:r>
          </w:p>
        </w:tc>
        <w:tc>
          <w:tcPr>
            <w:tcW w:w="1330" w:type="dxa"/>
            <w:vAlign w:val="center"/>
          </w:tcPr>
          <w:p>
            <w:pPr>
              <w:spacing w:line="440" w:lineRule="exact"/>
              <w:jc w:val="center"/>
              <w:rPr>
                <w:rFonts w:ascii="仿宋_GB2312" w:hAnsi="仿宋"/>
                <w:szCs w:val="32"/>
              </w:rPr>
            </w:pPr>
            <w:r>
              <w:rPr>
                <w:rFonts w:hint="eastAsia" w:ascii="黑体" w:hAnsi="宋体" w:eastAsia="黑体" w:cs="宋体"/>
                <w:kern w:val="0"/>
                <w:sz w:val="24"/>
              </w:rPr>
              <w:t>执法对象</w:t>
            </w:r>
          </w:p>
        </w:tc>
        <w:tc>
          <w:tcPr>
            <w:tcW w:w="6630" w:type="dxa"/>
            <w:vAlign w:val="center"/>
          </w:tcPr>
          <w:p>
            <w:pPr>
              <w:spacing w:line="440" w:lineRule="exact"/>
              <w:jc w:val="center"/>
              <w:rPr>
                <w:rFonts w:ascii="仿宋_GB2312" w:hAnsi="仿宋"/>
                <w:szCs w:val="32"/>
              </w:rPr>
            </w:pPr>
            <w:r>
              <w:rPr>
                <w:rFonts w:hint="eastAsia" w:ascii="黑体" w:hAnsi="宋体" w:eastAsia="黑体" w:cs="宋体"/>
                <w:kern w:val="0"/>
                <w:sz w:val="24"/>
              </w:rPr>
              <w:t>违法事实</w:t>
            </w:r>
          </w:p>
        </w:tc>
        <w:tc>
          <w:tcPr>
            <w:tcW w:w="1618" w:type="dxa"/>
            <w:vAlign w:val="center"/>
          </w:tcPr>
          <w:p>
            <w:pPr>
              <w:spacing w:line="440" w:lineRule="exact"/>
              <w:jc w:val="center"/>
              <w:rPr>
                <w:rFonts w:ascii="仿宋_GB2312" w:hAnsi="仿宋"/>
                <w:szCs w:val="32"/>
              </w:rPr>
            </w:pPr>
            <w:r>
              <w:rPr>
                <w:rFonts w:hint="eastAsia" w:ascii="黑体" w:hAnsi="宋体" w:eastAsia="黑体" w:cs="宋体"/>
                <w:kern w:val="0"/>
                <w:sz w:val="24"/>
              </w:rPr>
              <w:t>处罚依据</w:t>
            </w:r>
          </w:p>
        </w:tc>
        <w:tc>
          <w:tcPr>
            <w:tcW w:w="1980" w:type="dxa"/>
            <w:vAlign w:val="center"/>
          </w:tcPr>
          <w:p>
            <w:pPr>
              <w:spacing w:line="440" w:lineRule="exact"/>
              <w:jc w:val="center"/>
              <w:rPr>
                <w:rFonts w:ascii="仿宋_GB2312" w:hAnsi="仿宋"/>
                <w:szCs w:val="32"/>
              </w:rPr>
            </w:pPr>
            <w:r>
              <w:rPr>
                <w:rFonts w:hint="eastAsia" w:ascii="黑体" w:hAnsi="宋体" w:eastAsia="黑体" w:cs="宋体"/>
                <w:kern w:val="0"/>
                <w:sz w:val="24"/>
              </w:rPr>
              <w:t>处罚内容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6" w:type="dxa"/>
            <w:vAlign w:val="center"/>
          </w:tcPr>
          <w:p>
            <w:pPr>
              <w:spacing w:line="440" w:lineRule="exact"/>
              <w:jc w:val="center"/>
              <w:rPr>
                <w:rFonts w:ascii="仿宋_GB2312" w:hAnsi="仿宋"/>
                <w:sz w:val="21"/>
                <w:szCs w:val="21"/>
              </w:rPr>
            </w:pPr>
            <w:r>
              <w:rPr>
                <w:rFonts w:hint="eastAsia" w:ascii="仿宋_GB2312" w:hAnsi="仿宋"/>
                <w:sz w:val="21"/>
                <w:szCs w:val="21"/>
              </w:rPr>
              <w:t>1</w:t>
            </w:r>
          </w:p>
        </w:tc>
        <w:tc>
          <w:tcPr>
            <w:tcW w:w="1394" w:type="dxa"/>
            <w:vAlign w:val="center"/>
          </w:tcPr>
          <w:p>
            <w:pPr>
              <w:spacing w:line="440" w:lineRule="exact"/>
              <w:jc w:val="center"/>
              <w:rPr>
                <w:rFonts w:ascii="仿宋_GB2312" w:hAnsi="仿宋"/>
                <w:szCs w:val="32"/>
              </w:rPr>
            </w:pPr>
            <w:r>
              <w:rPr>
                <w:rFonts w:hint="eastAsia" w:ascii="仿宋_GB2312" w:hAnsi="仿宋"/>
                <w:sz w:val="21"/>
                <w:szCs w:val="21"/>
              </w:rPr>
              <w:t>2022年10月21日</w:t>
            </w:r>
          </w:p>
        </w:tc>
        <w:tc>
          <w:tcPr>
            <w:tcW w:w="1220" w:type="dxa"/>
            <w:vAlign w:val="center"/>
          </w:tcPr>
          <w:p>
            <w:pPr>
              <w:spacing w:line="440" w:lineRule="exact"/>
              <w:jc w:val="center"/>
              <w:rPr>
                <w:rFonts w:ascii="仿宋_GB2312" w:hAnsi="仿宋"/>
                <w:sz w:val="21"/>
                <w:szCs w:val="21"/>
              </w:rPr>
            </w:pPr>
            <w:r>
              <w:rPr>
                <w:rFonts w:hint="eastAsia" w:ascii="仿宋_GB2312" w:hAnsi="仿宋"/>
                <w:sz w:val="21"/>
                <w:szCs w:val="21"/>
              </w:rPr>
              <w:t>国家矿山安全监察局山东局</w:t>
            </w:r>
          </w:p>
        </w:tc>
        <w:tc>
          <w:tcPr>
            <w:tcW w:w="1330" w:type="dxa"/>
            <w:vAlign w:val="center"/>
          </w:tcPr>
          <w:p>
            <w:pPr>
              <w:spacing w:line="440" w:lineRule="exact"/>
              <w:jc w:val="center"/>
              <w:rPr>
                <w:rFonts w:ascii="仿宋_GB2312" w:hAnsi="仿宋"/>
                <w:sz w:val="21"/>
                <w:szCs w:val="21"/>
              </w:rPr>
            </w:pPr>
            <w:r>
              <w:rPr>
                <w:rFonts w:hint="eastAsia" w:ascii="仿宋_GB2312" w:hAnsi="仿宋"/>
                <w:sz w:val="21"/>
                <w:szCs w:val="21"/>
              </w:rPr>
              <w:t>山东泉兴矿业集团有限责任公司</w:t>
            </w:r>
          </w:p>
        </w:tc>
        <w:tc>
          <w:tcPr>
            <w:tcW w:w="6630" w:type="dxa"/>
            <w:vAlign w:val="center"/>
          </w:tcPr>
          <w:p>
            <w:pPr>
              <w:pStyle w:val="7"/>
              <w:numPr>
                <w:ilvl w:val="0"/>
                <w:numId w:val="1"/>
              </w:numPr>
              <w:spacing w:line="440" w:lineRule="exact"/>
              <w:ind w:firstLineChars="0"/>
              <w:jc w:val="left"/>
              <w:rPr>
                <w:rFonts w:ascii="仿宋_GB2312" w:hAnsi="仿宋"/>
                <w:sz w:val="21"/>
                <w:szCs w:val="21"/>
              </w:rPr>
            </w:pPr>
            <w:r>
              <w:rPr>
                <w:rFonts w:hint="eastAsia" w:ascii="仿宋_GB2312" w:hAnsi="仿宋"/>
                <w:sz w:val="21"/>
                <w:szCs w:val="21"/>
              </w:rPr>
              <w:t>12511综采工作面运输巷外第一部带式输送机巷道（长92m左右）分别在输送机机头、机尾处各设置1处消防支管，间隔超过50m，不符合《煤矿安全规程》第二百四十九条第一款规定；②12511综采工作面运输巷外第一部带式输送机巷道为避水灾路线，长92m左右，该段巷道未设置压风管路、敷设供水管路，不符合《煤矿安全规程》第六百八十七条规定；③矿自然发火监测分析的红外色谱分析仪使用的标准气样超过有效期（2016年11月3日）未更换，不符合《煤矿安全规程》第四条第五款规定；④现场检查时，矿陪检人员携带的检测接地电阻的仪表损坏，无法使用，不符合《煤矿安全规程》第四条第五款规定；⑤12511综采工作面16#液压支架压力表损坏（读数为零），未及时维修或更换，不符合《煤矿安全规程》第四条第五款要求；⑥在《综采工作面支护质量、顶板动态监测记录表》中记录，王广武于2022年9月19日到12511材料道、王次武于10月2日、8日到12511运输巷、王次喜于9月24日到12511材料道观测端头单体液压支柱初撑力，查看人员位置监测系统，实际未由上述人员观测，不符合矿顶板管理制度；⑦煤矿于2022年7月份编制的《12511综采工作面设计说明书》未报上级公司山东泉兴矿业集团有限责任公司批准，不符合《山东煤矿安全监察局山东省能源局关于枣庄矿业集团新安煤业有限公司“5•26”顶板事故的通报》中“采掘工作面设计必须经上级公司审批”的规定。</w:t>
            </w:r>
          </w:p>
        </w:tc>
        <w:tc>
          <w:tcPr>
            <w:tcW w:w="1618" w:type="dxa"/>
            <w:vAlign w:val="center"/>
          </w:tcPr>
          <w:p>
            <w:pPr>
              <w:spacing w:line="440" w:lineRule="exact"/>
              <w:rPr>
                <w:rFonts w:ascii="仿宋_GB2312" w:hAnsi="仿宋"/>
                <w:sz w:val="21"/>
                <w:szCs w:val="21"/>
              </w:rPr>
            </w:pPr>
            <w:r>
              <w:rPr>
                <w:rFonts w:hint="eastAsia" w:ascii="仿宋_GB2312" w:hAnsi="仿宋"/>
                <w:sz w:val="21"/>
                <w:szCs w:val="21"/>
              </w:rPr>
              <w:t>《安全生产违法行为行政处罚办法》第四十五条第一项</w:t>
            </w:r>
          </w:p>
        </w:tc>
        <w:tc>
          <w:tcPr>
            <w:tcW w:w="1980" w:type="dxa"/>
            <w:vAlign w:val="center"/>
          </w:tcPr>
          <w:p>
            <w:pPr>
              <w:spacing w:line="440" w:lineRule="exact"/>
              <w:rPr>
                <w:rFonts w:ascii="仿宋_GB2312"/>
                <w:sz w:val="28"/>
                <w:szCs w:val="28"/>
              </w:rPr>
            </w:pPr>
            <w:r>
              <w:rPr>
                <w:rFonts w:hint="eastAsia" w:ascii="仿宋_GB2312" w:hAnsi="仿宋"/>
                <w:sz w:val="21"/>
                <w:szCs w:val="21"/>
              </w:rPr>
              <w:t>罚款人民币贰万元整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8" w:hRule="atLeast"/>
          <w:jc w:val="center"/>
        </w:trPr>
        <w:tc>
          <w:tcPr>
            <w:tcW w:w="696" w:type="dxa"/>
            <w:vAlign w:val="center"/>
          </w:tcPr>
          <w:p>
            <w:pPr>
              <w:spacing w:line="440" w:lineRule="exact"/>
              <w:jc w:val="center"/>
              <w:rPr>
                <w:rFonts w:ascii="仿宋_GB2312" w:hAnsi="仿宋"/>
                <w:sz w:val="21"/>
                <w:szCs w:val="21"/>
              </w:rPr>
            </w:pPr>
            <w:r>
              <w:rPr>
                <w:rFonts w:hint="eastAsia" w:ascii="仿宋_GB2312" w:hAnsi="仿宋"/>
                <w:sz w:val="21"/>
                <w:szCs w:val="21"/>
              </w:rPr>
              <w:t>2</w:t>
            </w:r>
          </w:p>
        </w:tc>
        <w:tc>
          <w:tcPr>
            <w:tcW w:w="1394" w:type="dxa"/>
            <w:vAlign w:val="center"/>
          </w:tcPr>
          <w:p>
            <w:pPr>
              <w:jc w:val="center"/>
            </w:pPr>
            <w:r>
              <w:rPr>
                <w:rFonts w:hint="eastAsia" w:ascii="仿宋_GB2312" w:hAnsi="仿宋"/>
                <w:sz w:val="21"/>
                <w:szCs w:val="21"/>
              </w:rPr>
              <w:t>2022年10月21日</w:t>
            </w:r>
          </w:p>
        </w:tc>
        <w:tc>
          <w:tcPr>
            <w:tcW w:w="1220" w:type="dxa"/>
            <w:vAlign w:val="center"/>
          </w:tcPr>
          <w:p>
            <w:pPr>
              <w:spacing w:line="440" w:lineRule="exact"/>
              <w:jc w:val="center"/>
              <w:rPr>
                <w:rFonts w:ascii="仿宋_GB2312" w:hAnsi="仿宋"/>
                <w:sz w:val="21"/>
                <w:szCs w:val="21"/>
              </w:rPr>
            </w:pPr>
            <w:r>
              <w:rPr>
                <w:rFonts w:hint="eastAsia" w:ascii="仿宋_GB2312" w:hAnsi="仿宋"/>
                <w:sz w:val="21"/>
                <w:szCs w:val="21"/>
              </w:rPr>
              <w:t>国家矿山安全监察局山东局</w:t>
            </w:r>
          </w:p>
        </w:tc>
        <w:tc>
          <w:tcPr>
            <w:tcW w:w="1330" w:type="dxa"/>
            <w:vAlign w:val="center"/>
          </w:tcPr>
          <w:p>
            <w:pPr>
              <w:spacing w:line="440" w:lineRule="exact"/>
              <w:jc w:val="center"/>
              <w:rPr>
                <w:rFonts w:ascii="仿宋_GB2312" w:hAnsi="仿宋"/>
                <w:sz w:val="21"/>
                <w:szCs w:val="21"/>
              </w:rPr>
            </w:pPr>
            <w:r>
              <w:rPr>
                <w:rFonts w:hint="eastAsia" w:ascii="仿宋_GB2312" w:hAnsi="仿宋"/>
                <w:sz w:val="21"/>
                <w:szCs w:val="21"/>
              </w:rPr>
              <w:t>山东泉兴矿业集团有限责任公司</w:t>
            </w:r>
          </w:p>
        </w:tc>
        <w:tc>
          <w:tcPr>
            <w:tcW w:w="6630" w:type="dxa"/>
            <w:vAlign w:val="center"/>
          </w:tcPr>
          <w:p>
            <w:pPr>
              <w:pStyle w:val="7"/>
              <w:numPr>
                <w:ilvl w:val="0"/>
                <w:numId w:val="2"/>
              </w:numPr>
              <w:spacing w:line="440" w:lineRule="exact"/>
              <w:ind w:firstLineChars="0"/>
              <w:rPr>
                <w:rFonts w:ascii="仿宋_GB2312" w:hAnsi="仿宋"/>
                <w:sz w:val="21"/>
                <w:szCs w:val="21"/>
              </w:rPr>
            </w:pPr>
            <w:r>
              <w:rPr>
                <w:rFonts w:hint="eastAsia" w:ascii="仿宋_GB2312" w:hAnsi="仿宋"/>
                <w:sz w:val="21"/>
                <w:szCs w:val="21"/>
              </w:rPr>
              <w:t>12511综采工作面5#、6#、7#、8#液压支架压力表分别显示为0MPa、0MPa、12MPa、10MPa，不符合作业规程“不低于25.2MPa”的规定；②2022年10月6日现场检查时，12511综采工作面15#与16#、35#与36#、55#与56#液压支架间错茬大于侧护板厚度的2/3；不符合《12511综采工作面作业规程》中“液压支架错茬不得大于侧护板厚度2/3”的规定；③2022年10月8日，矿未采用自然发火监测系统监测12511综采工作面采空区气体浓度，不符合《煤矿防灭火细则》第五十九条第三项规定；④12511综采工作面液压泵站的输出压力为28MPa，不符合《12511采煤工作面作业规程》中“液压泵站输出压力不低于30MPa”的规定；⑤12511皮带机顺槽采用锚网索支护，第50#皮带支架附近约10米的巷道顶板破碎，顶板形成网兜、局部产生离层，未及时处理，不符合《煤矿安全规程》第一百二十五条的规定；⑥2022年9月4日早班主井更换箕斗，4时6分至4时35分停止矿井主通风机运转，未制定停风措施，不符合《煤矿安全规程》第一百六十一条第一款的规定；⑦2022年9月4日4时6分至4时35分停止矿井主通风机运转，未切断井下各作业地点电源，不符合《煤矿安全规程》第一百六十一条第三款的规定。</w:t>
            </w:r>
          </w:p>
        </w:tc>
        <w:tc>
          <w:tcPr>
            <w:tcW w:w="1618" w:type="dxa"/>
            <w:vAlign w:val="center"/>
          </w:tcPr>
          <w:p>
            <w:pPr>
              <w:spacing w:line="440" w:lineRule="exact"/>
              <w:rPr>
                <w:rFonts w:ascii="仿宋_GB2312" w:hAnsi="仿宋"/>
                <w:sz w:val="21"/>
                <w:szCs w:val="21"/>
              </w:rPr>
            </w:pPr>
            <w:r>
              <w:rPr>
                <w:rFonts w:hint="eastAsia" w:ascii="仿宋_GB2312" w:hAnsi="仿宋"/>
                <w:sz w:val="21"/>
                <w:szCs w:val="21"/>
                <w:u w:val="none"/>
              </w:rPr>
              <w:t>《山东省安全生产条例》第七十六条第一款</w:t>
            </w:r>
          </w:p>
        </w:tc>
        <w:tc>
          <w:tcPr>
            <w:tcW w:w="1980" w:type="dxa"/>
            <w:vAlign w:val="center"/>
          </w:tcPr>
          <w:p>
            <w:pPr>
              <w:spacing w:line="440" w:lineRule="exact"/>
              <w:rPr>
                <w:rFonts w:ascii="仿宋_GB2312"/>
                <w:sz w:val="28"/>
                <w:szCs w:val="28"/>
              </w:rPr>
            </w:pPr>
            <w:r>
              <w:rPr>
                <w:rFonts w:hint="eastAsia" w:ascii="仿宋_GB2312" w:hAnsi="仿宋"/>
                <w:sz w:val="21"/>
                <w:szCs w:val="21"/>
              </w:rPr>
              <w:t>罚款人民币陆万元整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7" w:hRule="atLeast"/>
          <w:jc w:val="center"/>
        </w:trPr>
        <w:tc>
          <w:tcPr>
            <w:tcW w:w="696" w:type="dxa"/>
            <w:vAlign w:val="center"/>
          </w:tcPr>
          <w:p>
            <w:pPr>
              <w:spacing w:line="440" w:lineRule="exact"/>
              <w:jc w:val="center"/>
              <w:rPr>
                <w:rFonts w:ascii="仿宋_GB2312" w:hAnsi="仿宋"/>
                <w:sz w:val="21"/>
                <w:szCs w:val="21"/>
              </w:rPr>
            </w:pPr>
            <w:r>
              <w:rPr>
                <w:rFonts w:hint="eastAsia" w:ascii="仿宋_GB2312" w:hAnsi="仿宋"/>
                <w:sz w:val="21"/>
                <w:szCs w:val="21"/>
              </w:rPr>
              <w:t>3</w:t>
            </w:r>
          </w:p>
        </w:tc>
        <w:tc>
          <w:tcPr>
            <w:tcW w:w="1394" w:type="dxa"/>
            <w:vAlign w:val="center"/>
          </w:tcPr>
          <w:p>
            <w:pPr>
              <w:jc w:val="center"/>
            </w:pPr>
            <w:r>
              <w:rPr>
                <w:rFonts w:hint="eastAsia" w:ascii="仿宋_GB2312" w:hAnsi="仿宋"/>
                <w:sz w:val="21"/>
                <w:szCs w:val="21"/>
              </w:rPr>
              <w:t>2022年10月21日</w:t>
            </w:r>
          </w:p>
        </w:tc>
        <w:tc>
          <w:tcPr>
            <w:tcW w:w="1220" w:type="dxa"/>
            <w:vAlign w:val="center"/>
          </w:tcPr>
          <w:p>
            <w:pPr>
              <w:spacing w:line="440" w:lineRule="exact"/>
              <w:jc w:val="center"/>
              <w:rPr>
                <w:rFonts w:ascii="仿宋_GB2312" w:hAnsi="仿宋"/>
                <w:sz w:val="21"/>
                <w:szCs w:val="21"/>
              </w:rPr>
            </w:pPr>
            <w:r>
              <w:rPr>
                <w:rFonts w:hint="eastAsia" w:ascii="仿宋_GB2312" w:hAnsi="仿宋"/>
                <w:sz w:val="21"/>
                <w:szCs w:val="21"/>
              </w:rPr>
              <w:t>国家矿山安全监察局山东局</w:t>
            </w:r>
          </w:p>
        </w:tc>
        <w:tc>
          <w:tcPr>
            <w:tcW w:w="1330" w:type="dxa"/>
            <w:vAlign w:val="center"/>
          </w:tcPr>
          <w:p>
            <w:pPr>
              <w:spacing w:line="440" w:lineRule="exact"/>
              <w:jc w:val="center"/>
              <w:rPr>
                <w:rFonts w:ascii="仿宋_GB2312" w:hAnsi="仿宋"/>
                <w:sz w:val="21"/>
                <w:szCs w:val="21"/>
              </w:rPr>
            </w:pPr>
            <w:r>
              <w:rPr>
                <w:rFonts w:hint="eastAsia" w:ascii="仿宋_GB2312" w:hAnsi="仿宋"/>
                <w:sz w:val="21"/>
                <w:szCs w:val="21"/>
              </w:rPr>
              <w:t>山东泉兴矿业集团有限责任公司</w:t>
            </w:r>
          </w:p>
        </w:tc>
        <w:tc>
          <w:tcPr>
            <w:tcW w:w="6630" w:type="dxa"/>
            <w:vAlign w:val="center"/>
          </w:tcPr>
          <w:p>
            <w:pPr>
              <w:pStyle w:val="7"/>
              <w:numPr>
                <w:ilvl w:val="0"/>
                <w:numId w:val="3"/>
              </w:numPr>
              <w:spacing w:line="440" w:lineRule="exact"/>
              <w:ind w:firstLineChars="0"/>
              <w:rPr>
                <w:rFonts w:ascii="仿宋_GB2312" w:hAnsi="仿宋"/>
                <w:sz w:val="21"/>
                <w:szCs w:val="21"/>
              </w:rPr>
            </w:pPr>
            <w:r>
              <w:rPr>
                <w:rFonts w:hint="eastAsia" w:ascii="仿宋_GB2312" w:hAnsi="仿宋"/>
                <w:sz w:val="21"/>
                <w:szCs w:val="21"/>
              </w:rPr>
              <w:t>人暗斜井架空乘人装置安装的张紧力下降保护装置安装错误，张紧装置在本身配重不足导致张紧力下降时，保护不能起作用，不符合《煤矿安全规程》第三百八十三条第六项第一目的规定；②煤矿配备的CYH25型便携式氧气测定器的浓度测量误差达到-5%，不符合《煤矿用携带型电化学式氧气测定器》（MT/T 704-2008）4.5.1的要求</w:t>
            </w:r>
          </w:p>
        </w:tc>
        <w:tc>
          <w:tcPr>
            <w:tcW w:w="1618" w:type="dxa"/>
            <w:vAlign w:val="center"/>
          </w:tcPr>
          <w:p>
            <w:pPr>
              <w:spacing w:line="440" w:lineRule="exact"/>
              <w:rPr>
                <w:rFonts w:ascii="仿宋_GB2312" w:hAnsi="仿宋"/>
                <w:sz w:val="21"/>
                <w:szCs w:val="21"/>
              </w:rPr>
            </w:pPr>
            <w:r>
              <w:rPr>
                <w:rFonts w:hint="eastAsia" w:ascii="仿宋_GB2312" w:hAnsi="仿宋"/>
                <w:sz w:val="21"/>
                <w:szCs w:val="21"/>
              </w:rPr>
              <w:t>《中华人民共和国安全生产法》第九十九条第二项</w:t>
            </w:r>
          </w:p>
        </w:tc>
        <w:tc>
          <w:tcPr>
            <w:tcW w:w="1980" w:type="dxa"/>
            <w:vAlign w:val="center"/>
          </w:tcPr>
          <w:p>
            <w:pPr>
              <w:spacing w:line="440" w:lineRule="exact"/>
              <w:rPr>
                <w:rFonts w:ascii="仿宋_GB2312" w:hAnsi="仿宋"/>
                <w:sz w:val="21"/>
                <w:szCs w:val="21"/>
              </w:rPr>
            </w:pPr>
            <w:r>
              <w:rPr>
                <w:rFonts w:hint="eastAsia" w:ascii="仿宋_GB2312" w:hAnsi="仿宋"/>
                <w:sz w:val="21"/>
                <w:szCs w:val="21"/>
              </w:rPr>
              <w:t>罚款人民币贰万元整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7" w:hRule="atLeast"/>
          <w:jc w:val="center"/>
        </w:trPr>
        <w:tc>
          <w:tcPr>
            <w:tcW w:w="696" w:type="dxa"/>
            <w:vAlign w:val="center"/>
          </w:tcPr>
          <w:p>
            <w:pPr>
              <w:spacing w:line="440" w:lineRule="exact"/>
              <w:jc w:val="center"/>
              <w:rPr>
                <w:rFonts w:ascii="仿宋_GB2312" w:hAnsi="仿宋"/>
                <w:sz w:val="21"/>
                <w:szCs w:val="21"/>
              </w:rPr>
            </w:pPr>
            <w:r>
              <w:rPr>
                <w:rFonts w:hint="eastAsia" w:ascii="仿宋_GB2312" w:hAnsi="仿宋"/>
                <w:sz w:val="21"/>
                <w:szCs w:val="21"/>
              </w:rPr>
              <w:t>4</w:t>
            </w:r>
          </w:p>
        </w:tc>
        <w:tc>
          <w:tcPr>
            <w:tcW w:w="1394" w:type="dxa"/>
            <w:vAlign w:val="center"/>
          </w:tcPr>
          <w:p>
            <w:pPr>
              <w:jc w:val="center"/>
            </w:pPr>
            <w:r>
              <w:rPr>
                <w:rFonts w:hint="eastAsia" w:ascii="仿宋_GB2312" w:hAnsi="仿宋"/>
                <w:sz w:val="21"/>
                <w:szCs w:val="21"/>
              </w:rPr>
              <w:t>2022年10月21日</w:t>
            </w:r>
          </w:p>
        </w:tc>
        <w:tc>
          <w:tcPr>
            <w:tcW w:w="1220" w:type="dxa"/>
            <w:vAlign w:val="center"/>
          </w:tcPr>
          <w:p>
            <w:pPr>
              <w:spacing w:line="440" w:lineRule="exact"/>
              <w:jc w:val="center"/>
              <w:rPr>
                <w:rFonts w:ascii="仿宋_GB2312" w:hAnsi="仿宋"/>
                <w:sz w:val="21"/>
                <w:szCs w:val="21"/>
              </w:rPr>
            </w:pPr>
            <w:r>
              <w:rPr>
                <w:rFonts w:hint="eastAsia" w:ascii="仿宋_GB2312" w:hAnsi="仿宋"/>
                <w:sz w:val="21"/>
                <w:szCs w:val="21"/>
              </w:rPr>
              <w:t>国家矿山安全监察局山东局</w:t>
            </w:r>
          </w:p>
        </w:tc>
        <w:tc>
          <w:tcPr>
            <w:tcW w:w="1330" w:type="dxa"/>
            <w:vAlign w:val="center"/>
          </w:tcPr>
          <w:p>
            <w:pPr>
              <w:spacing w:line="440" w:lineRule="exact"/>
              <w:jc w:val="center"/>
              <w:rPr>
                <w:rFonts w:ascii="仿宋_GB2312" w:hAnsi="仿宋"/>
                <w:sz w:val="21"/>
                <w:szCs w:val="21"/>
              </w:rPr>
            </w:pPr>
            <w:r>
              <w:rPr>
                <w:rFonts w:hint="eastAsia" w:ascii="仿宋_GB2312" w:hAnsi="仿宋"/>
                <w:sz w:val="21"/>
                <w:szCs w:val="21"/>
              </w:rPr>
              <w:t>山东泉兴矿业集团有限责任公司</w:t>
            </w:r>
          </w:p>
        </w:tc>
        <w:tc>
          <w:tcPr>
            <w:tcW w:w="6630" w:type="dxa"/>
            <w:vAlign w:val="center"/>
          </w:tcPr>
          <w:p>
            <w:pPr>
              <w:pStyle w:val="7"/>
              <w:numPr>
                <w:ilvl w:val="0"/>
                <w:numId w:val="3"/>
              </w:numPr>
              <w:spacing w:line="440" w:lineRule="exact"/>
              <w:ind w:firstLineChars="0"/>
              <w:rPr>
                <w:rFonts w:ascii="仿宋_GB2312" w:hAnsi="仿宋"/>
                <w:sz w:val="21"/>
                <w:szCs w:val="21"/>
              </w:rPr>
            </w:pPr>
            <w:r>
              <w:rPr>
                <w:rFonts w:hint="eastAsia" w:ascii="仿宋_GB2312" w:hAnsi="仿宋"/>
                <w:sz w:val="21"/>
                <w:szCs w:val="21"/>
              </w:rPr>
              <w:t>风机房、主通风机房、井下12511集中配电点等地点设置的接地电阻3季度未按规定进行测试，不符合《煤矿安全规程》第四百八十三条第一款的规定；②井下125皮带巷电缆接线盒、防爆照明灯、带式输送机电机等电气设备未按规定每月进行一次防爆性能检查，不符合《煤矿安全规程》第四百八十三条第一款的规定；③2022年9月5日，矿安全监控系统显示124采变联络巷风门传感器双开报警事件持续15天零14小时，矿未查明原因及时处置，未做好记录备案，不符合《煤矿安全规程》第四百九十四条的规定；④2022年9月13日三水平南大巷皮带风速3次超下限报警，共计报警8分钟，最低风速0.15m/s；12煤总回风巷风速超下限报警，最低风速0.2m/s，不符合《煤矿安全规程》第一百三十六条的规定</w:t>
            </w:r>
          </w:p>
        </w:tc>
        <w:tc>
          <w:tcPr>
            <w:tcW w:w="1618" w:type="dxa"/>
            <w:vAlign w:val="center"/>
          </w:tcPr>
          <w:p>
            <w:pPr>
              <w:spacing w:line="440" w:lineRule="exact"/>
              <w:rPr>
                <w:rFonts w:ascii="仿宋_GB2312" w:hAnsi="仿宋"/>
                <w:sz w:val="21"/>
                <w:szCs w:val="21"/>
              </w:rPr>
            </w:pPr>
            <w:r>
              <w:rPr>
                <w:rFonts w:hint="eastAsia" w:ascii="仿宋_GB2312" w:hAnsi="仿宋"/>
                <w:sz w:val="21"/>
                <w:szCs w:val="21"/>
              </w:rPr>
              <w:t>《中华人民共和国安全生产法》第九十九条第三项</w:t>
            </w:r>
          </w:p>
        </w:tc>
        <w:tc>
          <w:tcPr>
            <w:tcW w:w="1980" w:type="dxa"/>
            <w:vAlign w:val="center"/>
          </w:tcPr>
          <w:p>
            <w:pPr>
              <w:spacing w:line="440" w:lineRule="exact"/>
              <w:rPr>
                <w:rFonts w:ascii="仿宋_GB2312" w:hAnsi="仿宋"/>
                <w:sz w:val="21"/>
                <w:szCs w:val="21"/>
              </w:rPr>
            </w:pPr>
            <w:r>
              <w:rPr>
                <w:rFonts w:hint="eastAsia" w:ascii="仿宋_GB2312" w:hAnsi="仿宋"/>
                <w:sz w:val="21"/>
                <w:szCs w:val="21"/>
              </w:rPr>
              <w:t>罚款人民币叁万元整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7" w:hRule="atLeast"/>
          <w:jc w:val="center"/>
        </w:trPr>
        <w:tc>
          <w:tcPr>
            <w:tcW w:w="696" w:type="dxa"/>
            <w:vAlign w:val="center"/>
          </w:tcPr>
          <w:p>
            <w:pPr>
              <w:spacing w:line="440" w:lineRule="exact"/>
              <w:jc w:val="center"/>
              <w:rPr>
                <w:rFonts w:ascii="仿宋_GB2312" w:hAnsi="仿宋"/>
                <w:sz w:val="21"/>
                <w:szCs w:val="21"/>
              </w:rPr>
            </w:pPr>
            <w:r>
              <w:rPr>
                <w:rFonts w:hint="eastAsia" w:ascii="仿宋_GB2312" w:hAnsi="仿宋"/>
                <w:sz w:val="21"/>
                <w:szCs w:val="21"/>
              </w:rPr>
              <w:t>5</w:t>
            </w:r>
          </w:p>
        </w:tc>
        <w:tc>
          <w:tcPr>
            <w:tcW w:w="1394" w:type="dxa"/>
            <w:vAlign w:val="center"/>
          </w:tcPr>
          <w:p>
            <w:pPr>
              <w:jc w:val="center"/>
            </w:pPr>
            <w:r>
              <w:rPr>
                <w:rFonts w:hint="eastAsia" w:ascii="仿宋_GB2312" w:hAnsi="仿宋"/>
                <w:sz w:val="21"/>
                <w:szCs w:val="21"/>
              </w:rPr>
              <w:t>2022年10月21日</w:t>
            </w:r>
          </w:p>
        </w:tc>
        <w:tc>
          <w:tcPr>
            <w:tcW w:w="1220" w:type="dxa"/>
            <w:vAlign w:val="center"/>
          </w:tcPr>
          <w:p>
            <w:pPr>
              <w:spacing w:line="440" w:lineRule="exact"/>
              <w:jc w:val="center"/>
              <w:rPr>
                <w:rFonts w:ascii="仿宋_GB2312" w:hAnsi="仿宋"/>
                <w:sz w:val="21"/>
                <w:szCs w:val="21"/>
              </w:rPr>
            </w:pPr>
            <w:r>
              <w:rPr>
                <w:rFonts w:hint="eastAsia" w:ascii="仿宋_GB2312" w:hAnsi="仿宋"/>
                <w:sz w:val="21"/>
                <w:szCs w:val="21"/>
              </w:rPr>
              <w:t>国家矿山安全监察局山东局</w:t>
            </w:r>
          </w:p>
        </w:tc>
        <w:tc>
          <w:tcPr>
            <w:tcW w:w="1330" w:type="dxa"/>
            <w:vAlign w:val="center"/>
          </w:tcPr>
          <w:p>
            <w:pPr>
              <w:spacing w:line="440" w:lineRule="exact"/>
              <w:jc w:val="center"/>
              <w:rPr>
                <w:rFonts w:ascii="仿宋_GB2312" w:hAnsi="仿宋"/>
                <w:sz w:val="21"/>
                <w:szCs w:val="21"/>
              </w:rPr>
            </w:pPr>
            <w:r>
              <w:rPr>
                <w:rFonts w:hint="eastAsia" w:ascii="仿宋_GB2312" w:hAnsi="仿宋"/>
                <w:sz w:val="21"/>
                <w:szCs w:val="21"/>
              </w:rPr>
              <w:t>山东泉兴矿业集团有限责任公司</w:t>
            </w:r>
          </w:p>
        </w:tc>
        <w:tc>
          <w:tcPr>
            <w:tcW w:w="6630" w:type="dxa"/>
            <w:vAlign w:val="center"/>
          </w:tcPr>
          <w:p>
            <w:pPr>
              <w:spacing w:line="440" w:lineRule="exact"/>
              <w:rPr>
                <w:rFonts w:ascii="仿宋_GB2312" w:hAnsi="仿宋"/>
                <w:sz w:val="21"/>
                <w:szCs w:val="21"/>
              </w:rPr>
            </w:pPr>
            <w:r>
              <w:rPr>
                <w:rFonts w:hint="eastAsia" w:ascii="仿宋_GB2312" w:hAnsi="仿宋"/>
                <w:sz w:val="21"/>
                <w:szCs w:val="21"/>
              </w:rPr>
              <w:t>125采区一部皮带机头向机尾20m-40m位置部分带面跑偏，导致该区段撒煤较多，底皮带淤煤较多未及时清理，机头向后3-4架位置磨H架，未及时发现以上存在的隐患并及时消除，不符合《中华人民共和国安全生产法》第四十一条第二款的规定</w:t>
            </w:r>
          </w:p>
        </w:tc>
        <w:tc>
          <w:tcPr>
            <w:tcW w:w="1618" w:type="dxa"/>
            <w:vAlign w:val="center"/>
          </w:tcPr>
          <w:p>
            <w:pPr>
              <w:spacing w:line="440" w:lineRule="exact"/>
              <w:rPr>
                <w:rFonts w:hint="default" w:ascii="仿宋_GB2312" w:hAnsi="仿宋" w:eastAsia="仿宋_GB2312"/>
                <w:sz w:val="21"/>
                <w:szCs w:val="21"/>
                <w:lang w:val="en-US" w:eastAsia="zh-CN"/>
              </w:rPr>
            </w:pPr>
            <w:r>
              <w:rPr>
                <w:rFonts w:hint="eastAsia" w:ascii="仿宋_GB2312" w:hAnsi="仿宋"/>
                <w:sz w:val="21"/>
                <w:szCs w:val="21"/>
              </w:rPr>
              <w:t>《中华人民共和国安全生产法》第</w:t>
            </w:r>
            <w:r>
              <w:rPr>
                <w:rFonts w:hint="eastAsia" w:ascii="仿宋_GB2312" w:hAnsi="仿宋"/>
                <w:sz w:val="21"/>
                <w:szCs w:val="21"/>
                <w:lang w:val="en-US" w:eastAsia="zh-CN"/>
              </w:rPr>
              <w:t>一百零二条</w:t>
            </w:r>
          </w:p>
        </w:tc>
        <w:tc>
          <w:tcPr>
            <w:tcW w:w="1980" w:type="dxa"/>
            <w:vAlign w:val="center"/>
          </w:tcPr>
          <w:p>
            <w:pPr>
              <w:spacing w:line="440" w:lineRule="exact"/>
              <w:rPr>
                <w:rFonts w:ascii="仿宋_GB2312" w:hAnsi="仿宋"/>
                <w:sz w:val="21"/>
                <w:szCs w:val="21"/>
              </w:rPr>
            </w:pPr>
            <w:r>
              <w:rPr>
                <w:rFonts w:hint="eastAsia" w:ascii="仿宋_GB2312" w:hAnsi="仿宋"/>
                <w:sz w:val="21"/>
                <w:szCs w:val="21"/>
              </w:rPr>
              <w:t>罚款人民币贰万元整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7" w:hRule="atLeast"/>
          <w:jc w:val="center"/>
        </w:trPr>
        <w:tc>
          <w:tcPr>
            <w:tcW w:w="696" w:type="dxa"/>
            <w:vAlign w:val="center"/>
          </w:tcPr>
          <w:p>
            <w:pPr>
              <w:spacing w:line="440" w:lineRule="exact"/>
              <w:jc w:val="center"/>
              <w:rPr>
                <w:rFonts w:ascii="仿宋_GB2312" w:hAnsi="仿宋"/>
                <w:sz w:val="21"/>
                <w:szCs w:val="21"/>
              </w:rPr>
            </w:pPr>
            <w:r>
              <w:rPr>
                <w:rFonts w:ascii="仿宋_GB2312" w:hAnsi="仿宋"/>
                <w:sz w:val="21"/>
                <w:szCs w:val="21"/>
              </w:rPr>
              <w:t>6</w:t>
            </w:r>
          </w:p>
        </w:tc>
        <w:tc>
          <w:tcPr>
            <w:tcW w:w="1394" w:type="dxa"/>
            <w:vAlign w:val="center"/>
          </w:tcPr>
          <w:p>
            <w:pPr>
              <w:jc w:val="center"/>
            </w:pPr>
            <w:r>
              <w:rPr>
                <w:rFonts w:hint="eastAsia" w:ascii="仿宋_GB2312" w:hAnsi="仿宋"/>
                <w:sz w:val="21"/>
                <w:szCs w:val="21"/>
              </w:rPr>
              <w:t>2022年10月21日</w:t>
            </w:r>
          </w:p>
        </w:tc>
        <w:tc>
          <w:tcPr>
            <w:tcW w:w="1220" w:type="dxa"/>
            <w:vAlign w:val="center"/>
          </w:tcPr>
          <w:p>
            <w:pPr>
              <w:spacing w:line="440" w:lineRule="exact"/>
              <w:jc w:val="center"/>
              <w:rPr>
                <w:rFonts w:ascii="仿宋_GB2312" w:hAnsi="仿宋"/>
                <w:sz w:val="21"/>
                <w:szCs w:val="21"/>
              </w:rPr>
            </w:pPr>
            <w:r>
              <w:rPr>
                <w:rFonts w:hint="eastAsia" w:ascii="仿宋_GB2312" w:hAnsi="仿宋"/>
                <w:sz w:val="21"/>
                <w:szCs w:val="21"/>
              </w:rPr>
              <w:t>国家矿山安全监察局山东局</w:t>
            </w:r>
          </w:p>
        </w:tc>
        <w:tc>
          <w:tcPr>
            <w:tcW w:w="1330" w:type="dxa"/>
            <w:vAlign w:val="center"/>
          </w:tcPr>
          <w:p>
            <w:pPr>
              <w:spacing w:line="440" w:lineRule="exact"/>
              <w:jc w:val="center"/>
              <w:rPr>
                <w:rFonts w:ascii="仿宋_GB2312" w:hAnsi="仿宋"/>
                <w:sz w:val="21"/>
                <w:szCs w:val="21"/>
              </w:rPr>
            </w:pPr>
            <w:r>
              <w:rPr>
                <w:rFonts w:hint="eastAsia" w:ascii="仿宋_GB2312" w:hAnsi="仿宋"/>
                <w:sz w:val="21"/>
                <w:szCs w:val="21"/>
              </w:rPr>
              <w:t>山东泉兴矿业集团有限责任公司</w:t>
            </w:r>
          </w:p>
        </w:tc>
        <w:tc>
          <w:tcPr>
            <w:tcW w:w="6630" w:type="dxa"/>
            <w:vAlign w:val="center"/>
          </w:tcPr>
          <w:p>
            <w:pPr>
              <w:spacing w:line="440" w:lineRule="exact"/>
              <w:rPr>
                <w:rFonts w:ascii="仿宋_GB2312" w:hAnsi="仿宋"/>
                <w:sz w:val="21"/>
                <w:szCs w:val="21"/>
              </w:rPr>
            </w:pPr>
            <w:r>
              <w:rPr>
                <w:rFonts w:hint="eastAsia" w:ascii="仿宋_GB2312" w:hAnsi="仿宋"/>
                <w:sz w:val="21"/>
                <w:szCs w:val="21"/>
              </w:rPr>
              <w:t>煤矿兼职救护队伍未开展应急救援行动演练，不符合《山东省生产安全事故应急办法》第十九条第一款的规定</w:t>
            </w:r>
          </w:p>
        </w:tc>
        <w:tc>
          <w:tcPr>
            <w:tcW w:w="1618" w:type="dxa"/>
            <w:vAlign w:val="center"/>
          </w:tcPr>
          <w:p>
            <w:pPr>
              <w:spacing w:line="440" w:lineRule="exact"/>
              <w:rPr>
                <w:rFonts w:ascii="仿宋_GB2312" w:hAnsi="仿宋"/>
                <w:sz w:val="21"/>
                <w:szCs w:val="21"/>
              </w:rPr>
            </w:pPr>
            <w:r>
              <w:rPr>
                <w:rFonts w:hint="eastAsia" w:ascii="仿宋_GB2312" w:hAnsi="仿宋"/>
                <w:sz w:val="21"/>
                <w:szCs w:val="21"/>
              </w:rPr>
              <w:t>《山东省生产安全事故应急办法》第三十三条第三项</w:t>
            </w:r>
          </w:p>
        </w:tc>
        <w:tc>
          <w:tcPr>
            <w:tcW w:w="1980" w:type="dxa"/>
            <w:vAlign w:val="center"/>
          </w:tcPr>
          <w:p>
            <w:pPr>
              <w:spacing w:line="440" w:lineRule="exact"/>
              <w:rPr>
                <w:rFonts w:ascii="仿宋_GB2312" w:hAnsi="仿宋"/>
                <w:sz w:val="21"/>
                <w:szCs w:val="21"/>
              </w:rPr>
            </w:pPr>
            <w:r>
              <w:rPr>
                <w:rFonts w:hint="eastAsia" w:ascii="仿宋_GB2312" w:hAnsi="仿宋"/>
                <w:sz w:val="21"/>
                <w:szCs w:val="21"/>
              </w:rPr>
              <w:t>罚款人民币贰万元整</w:t>
            </w:r>
          </w:p>
        </w:tc>
      </w:tr>
    </w:tbl>
    <w:p>
      <w:pPr>
        <w:spacing w:line="560" w:lineRule="exact"/>
        <w:rPr>
          <w:sz w:val="21"/>
          <w:szCs w:val="21"/>
        </w:rPr>
      </w:pPr>
    </w:p>
    <w:p>
      <w:pPr>
        <w:spacing w:line="560" w:lineRule="exact"/>
        <w:rPr>
          <w:sz w:val="21"/>
          <w:szCs w:val="21"/>
        </w:rPr>
      </w:pPr>
    </w:p>
    <w:p>
      <w:pPr>
        <w:spacing w:line="560" w:lineRule="exact"/>
      </w:pPr>
    </w:p>
    <w:p>
      <w:pPr>
        <w:spacing w:line="560" w:lineRule="exact"/>
      </w:pPr>
    </w:p>
    <w:sectPr>
      <w:pgSz w:w="16840" w:h="11907" w:orient="landscape"/>
      <w:pgMar w:top="1588" w:right="2098" w:bottom="1474" w:left="1985" w:header="851" w:footer="992"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8</w: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59197E"/>
    <w:multiLevelType w:val="multilevel"/>
    <w:tmpl w:val="2859197E"/>
    <w:lvl w:ilvl="0" w:tentative="0">
      <w:start w:val="1"/>
      <w:numFmt w:val="decimalEnclosedCircle"/>
      <w:lvlText w:val="%1"/>
      <w:lvlJc w:val="left"/>
      <w:pPr>
        <w:ind w:left="360" w:hanging="360"/>
      </w:pPr>
      <w:rPr>
        <w:rFonts w:hint="default" w:ascii="仿宋" w:eastAsia="仿宋"/>
        <w:sz w:val="24"/>
        <w:u w:val="singl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BC702FA"/>
    <w:multiLevelType w:val="multilevel"/>
    <w:tmpl w:val="3BC702FA"/>
    <w:lvl w:ilvl="0" w:tentative="0">
      <w:start w:val="1"/>
      <w:numFmt w:val="decimalEnclosedCircle"/>
      <w:lvlText w:val="%1"/>
      <w:lvlJc w:val="left"/>
      <w:pPr>
        <w:ind w:left="360" w:hanging="360"/>
      </w:pPr>
      <w:rPr>
        <w:rFonts w:hint="default" w:ascii="仿宋" w:eastAsia="仿宋"/>
        <w:sz w:val="24"/>
        <w:u w:val="singl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67081E"/>
    <w:multiLevelType w:val="multilevel"/>
    <w:tmpl w:val="6F67081E"/>
    <w:lvl w:ilvl="0" w:tentative="0">
      <w:start w:val="1"/>
      <w:numFmt w:val="decimalEnclosedCircle"/>
      <w:lvlText w:val="%1"/>
      <w:lvlJc w:val="left"/>
      <w:pPr>
        <w:ind w:left="360" w:hanging="360"/>
      </w:pPr>
      <w:rPr>
        <w:rFonts w:hint="default" w:ascii="仿宋" w:eastAsia="仿宋"/>
        <w:sz w:val="24"/>
        <w:u w:val="singl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1"/>
  <w:bordersDoNotSurroundFooter w:val="1"/>
  <w:trackRevisions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YjQ5MjVmZmI1NjdiOWVlZTZkZTkyMTZjMDRlMTcifQ=="/>
  </w:docVars>
  <w:rsids>
    <w:rsidRoot w:val="00600153"/>
    <w:rsid w:val="00600153"/>
    <w:rsid w:val="00CD1BDD"/>
    <w:rsid w:val="02AD6750"/>
    <w:rsid w:val="04F86B1A"/>
    <w:rsid w:val="42B62DF5"/>
    <w:rsid w:val="52F7353B"/>
    <w:rsid w:val="780F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rFonts w:ascii="Times New Roman" w:hAnsi="Times New Roman" w:cs="Times New Roman"/>
      <w:sz w:val="18"/>
      <w:szCs w:val="18"/>
    </w:rPr>
  </w:style>
  <w:style w:type="character" w:styleId="5">
    <w:name w:val="page number"/>
    <w:basedOn w:val="4"/>
    <w:qFormat/>
    <w:uiPriority w:val="0"/>
  </w:style>
  <w:style w:type="character" w:customStyle="1" w:styleId="6">
    <w:name w:val="页脚 Char"/>
    <w:basedOn w:val="4"/>
    <w:link w:val="2"/>
    <w:qFormat/>
    <w:uiPriority w:val="0"/>
    <w:rPr>
      <w:rFonts w:ascii="Times New Roman" w:hAnsi="Times New Roman" w:eastAsia="仿宋_GB2312" w:cs="Times New Roman"/>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2183</Words>
  <Characters>2442</Characters>
  <Lines>17</Lines>
  <Paragraphs>5</Paragraphs>
  <TotalTime>3</TotalTime>
  <ScaleCrop>false</ScaleCrop>
  <LinksUpToDate>false</LinksUpToDate>
  <CharactersWithSpaces>2470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2022-11-22T09:25:00Z</dcterms:created>
  <dc:creator>刘洪涛</dc:creator>
  <cp:lastModifiedBy>Admin</cp:lastModifiedBy>
  <dcterms:modified xsi:type="dcterms:W3CDTF">2022-11-25T01:41:43Z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75F9985349AF4FD1953CECE74CE90D96</vt:lpwstr>
  </property>
</Properties>
</file>