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A5" w:rsidRDefault="008F23CD"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</w:t>
      </w:r>
    </w:p>
    <w:p w:rsidR="00A837A5" w:rsidRDefault="008F23CD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bookmarkStart w:id="0" w:name="_GoBack"/>
      <w:r>
        <w:rPr>
          <w:rFonts w:ascii="方正小标宋简体" w:eastAsia="方正小标宋简体" w:hAnsi="等线" w:cs="Times New Roman" w:hint="eastAsia"/>
          <w:szCs w:val="32"/>
        </w:rPr>
        <w:t>监察</w:t>
      </w:r>
      <w:r>
        <w:rPr>
          <w:rFonts w:ascii="方正小标宋简体" w:eastAsia="方正小标宋简体" w:hAnsi="等线" w:cs="Times New Roman" w:hint="eastAsia"/>
          <w:szCs w:val="32"/>
        </w:rPr>
        <w:t>执法四处</w:t>
      </w:r>
      <w:r>
        <w:rPr>
          <w:rFonts w:ascii="方正小标宋简体" w:eastAsia="方正小标宋简体" w:hAnsi="等线" w:cs="Times New Roman" w:hint="eastAsia"/>
          <w:szCs w:val="32"/>
        </w:rPr>
        <w:t>2022</w:t>
      </w:r>
      <w:r>
        <w:rPr>
          <w:rFonts w:ascii="方正小标宋简体" w:eastAsia="方正小标宋简体" w:hAnsi="等线" w:cs="Times New Roman" w:hint="eastAsia"/>
          <w:szCs w:val="32"/>
        </w:rPr>
        <w:t>年第</w:t>
      </w:r>
      <w:r>
        <w:rPr>
          <w:rFonts w:ascii="方正小标宋简体" w:eastAsia="方正小标宋简体" w:hAnsi="等线" w:cs="Times New Roman" w:hint="eastAsia"/>
          <w:szCs w:val="32"/>
        </w:rPr>
        <w:t>24</w:t>
      </w:r>
      <w:r>
        <w:rPr>
          <w:rFonts w:ascii="方正小标宋简体" w:eastAsia="方正小标宋简体" w:hAnsi="等线" w:cs="Times New Roman" w:hint="eastAsia"/>
          <w:szCs w:val="32"/>
        </w:rPr>
        <w:t>批行政处罚信息公开表</w:t>
      </w:r>
    </w:p>
    <w:bookmarkEnd w:id="0"/>
    <w:p w:rsidR="00A837A5" w:rsidRDefault="008F23CD">
      <w:pPr>
        <w:spacing w:line="56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tbl>
      <w:tblPr>
        <w:tblStyle w:val="a3"/>
        <w:tblW w:w="5354" w:type="pct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1196"/>
        <w:gridCol w:w="1113"/>
        <w:gridCol w:w="1094"/>
        <w:gridCol w:w="4798"/>
        <w:gridCol w:w="1769"/>
        <w:gridCol w:w="3078"/>
      </w:tblGrid>
      <w:tr w:rsidR="00A837A5">
        <w:trPr>
          <w:trHeight w:val="126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等线" w:eastAsia="等线" w:hAnsi="等线" w:cs="Times New Roman"/>
                <w:b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执法决定日期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执法主体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执法对象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违法事实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处罚依据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处罚内容</w:t>
            </w:r>
          </w:p>
        </w:tc>
      </w:tr>
      <w:tr w:rsidR="00A837A5">
        <w:trPr>
          <w:trHeight w:val="5002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27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兖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矿能源集团股份有限公司南屯煤矿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lef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矿井设计在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  <w:vertAlign w:val="subscript"/>
              </w:rPr>
              <w:t>下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采工作面采用喷洒阻化剂防灭火，但未配备喷洒阻化剂的设备设施，无法落实对采空区始采线、上下煤柱线等喷洒阻化剂的防灭火措施，矿井未及时发现并消除该事故隐患，不符合《中华人民共和国安全生产法》第四十一条第二款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  <w:vertAlign w:val="subscript"/>
              </w:rPr>
              <w:t>下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综采工作面轨道巷排水点现安设有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台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BQW-70-150-75g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潜水泵、额定排水能力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70m3/h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台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BQG-450/0.2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型气动水泵，额定排水能力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27m3/h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，达不到作业规程中“选取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BQW-70-150-75g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型水泵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台，一用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一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备；备用水泵的能力应不小于工作水泵的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70%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”的要求，矿井未及时发现并消除该隐患问题，不符合《中华人民共和国安全生产法》第四十一条第二款的规定。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《中华人民共和国安全生产法》第一百零二条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处罚款人民币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肆万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元整（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  <w:tr w:rsidR="00A837A5">
        <w:trPr>
          <w:trHeight w:val="9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27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lastRenderedPageBreak/>
              <w:t>局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lastRenderedPageBreak/>
              <w:t>兖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矿能源集团股份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lastRenderedPageBreak/>
              <w:t>有限公司南屯煤矿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lef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lastRenderedPageBreak/>
              <w:t>93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  <w:vertAlign w:val="subscript"/>
              </w:rPr>
              <w:t>下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21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运顺掘进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工作面迎头顶板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处锚索外露大于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250mm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，综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掘机附近巷道右帮中部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片帮，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处锚杆外露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lastRenderedPageBreak/>
              <w:t>大于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100mm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93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  <w:vertAlign w:val="subscript"/>
              </w:rPr>
              <w:t>下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运顺掘进作业规程》中“锚索外露长度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150mm-250mm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，锚杆外露不大于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100mm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”规定；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93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  <w:vertAlign w:val="subscript"/>
              </w:rPr>
              <w:t>下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21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运顺一部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皮带架棚处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125#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单体液压支柱泄压，未及时更换，不符合《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93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  <w:vertAlign w:val="subscript"/>
              </w:rPr>
              <w:t>下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运顺掘进作业规程》“单体支撑有力，初撑力不低于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11.5MPa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”规定；十一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采区皮轨联络巷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迎头后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范围内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棵锚杆支护质量不合格未采取补强支护措施，不符合《十一采区皮轨联络巷作业规程》“锚杆支护质量不合格时，应及时采取补强支护措施”的规定；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93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  <w:vertAlign w:val="subscript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综放工作面轨道顺槽有一组单元支架初撑力为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3MPa,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一组顺槽支架初撑力为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1.5MPa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，工作面有两组综采支架初撑力分别为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22MPa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23MPa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93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  <w:vertAlign w:val="subscript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综放工作面作业规程》中“超前支架初撑力不小于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12MPa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，工作面综采支架初撑力不小于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24MPa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”的规定。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lastRenderedPageBreak/>
              <w:t>《中华人民共和国矿山安全法实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lastRenderedPageBreak/>
              <w:t>施条例》第五十四条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lastRenderedPageBreak/>
              <w:t>处罚款人民币贰万元整（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  <w:tr w:rsidR="00A837A5">
        <w:trPr>
          <w:trHeight w:val="3167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27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兖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矿能源集团股份有限公司南屯煤矿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lef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93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  <w:vertAlign w:val="subscript"/>
              </w:rPr>
              <w:t>下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21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运顺过老巷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施工的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帮部卸压孔未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垂直巷道轴向，不符合《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93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  <w:vertAlign w:val="subscript"/>
              </w:rPr>
              <w:t>下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运顺掘进作业规程》中“过老巷施工的帮部卸压孔垂直巷道轴向”规定；十一采区轨道巷为采区避灾路线，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巷道里段未设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压风管路，不符合《煤矿安全规程》第六百八十七条第一款的规定；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93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  <w:vertAlign w:val="subscript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综放工作面运输顺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槽距离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工作面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60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米过老巷区域平均高度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5.8m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，未提前处理，不符合《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93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  <w:vertAlign w:val="subscript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综放工作面过老巷及下伏老巷安全技术措施》中“因无法满足单元支架和顺槽支架拉移高度，需要提前使用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6m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锚索配合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2.8m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板梁进行木垛造顶工程”的规定。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《山东省安全生产条例》第七十六条第一款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处罚款人民币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肆万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元整（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  <w:tr w:rsidR="00A837A5">
        <w:trPr>
          <w:trHeight w:val="501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lastRenderedPageBreak/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27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兖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矿能源集团股份有限公司南屯煤矿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lef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93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  <w:vertAlign w:val="subscript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24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轨顺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号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（浅孔）应力传感器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8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18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日压力值低于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4MPa,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未按照《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93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  <w:vertAlign w:val="subscript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综放工作面作业规程》中“应力传感器压力值低于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时及时补压”要求及时补压，不符合《中华人民共和国安全生产法》第三十六条第二款的规定；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93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  <w:vertAlign w:val="subscript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轨道巷顺槽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支架有一组压力表损坏，未及时维护，不符合《中华人民共和国安全生产法》第三十六条第二款的规定。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《中华人民共和国安全生产法》第九十九条第三项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处罚款人民币叁万元整（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  <w:tr w:rsidR="00A837A5">
        <w:trPr>
          <w:trHeight w:val="9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27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兖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矿能源集团股份有限公司南屯煤矿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lef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93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  <w:vertAlign w:val="subscript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综放工作面转载皮带巷外段（与九采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一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分区回风相连段）物料上积尘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2mm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，未及时除尘，不符合《煤矿安全规程》第一百八十七条第一款的规定。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《中华人民共和国矿山安全法实施条例》第五十四条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处罚款人民币壹万元整（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  <w:tr w:rsidR="00A837A5">
        <w:trPr>
          <w:trHeight w:val="2101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27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兖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矿能源集团股份有限公司南屯煤矿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lef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九采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一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分区轨道巷和九采区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一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分区南部回风巷之间主要风门未设置风门开关传感器，不符合《煤矿安全监控系统及检测仪器使用管理规范》（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AQ1029-2019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7.10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《中华人民共和国安全生产法》第九十九条第二项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A5" w:rsidRDefault="008F23CD"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处罚款人民币贰万元整（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</w:tbl>
    <w:p w:rsidR="00A837A5" w:rsidRDefault="008F23CD">
      <w:pPr>
        <w:autoSpaceDE w:val="0"/>
        <w:spacing w:line="320" w:lineRule="exact"/>
        <w:jc w:val="center"/>
        <w:rPr>
          <w:rFonts w:ascii="仿宋_GB2312" w:hAnsi="等线" w:cs="Times New Roman"/>
          <w:sz w:val="21"/>
          <w:szCs w:val="21"/>
        </w:rPr>
      </w:pPr>
      <w:r>
        <w:rPr>
          <w:rFonts w:ascii="仿宋_GB2312" w:hAnsi="等线" w:cs="Times New Roman" w:hint="eastAsia"/>
          <w:sz w:val="21"/>
          <w:szCs w:val="21"/>
        </w:rPr>
        <w:t xml:space="preserve"> </w:t>
      </w:r>
    </w:p>
    <w:p w:rsidR="00A837A5" w:rsidRDefault="008F23CD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lastRenderedPageBreak/>
        <w:t xml:space="preserve"> </w:t>
      </w:r>
    </w:p>
    <w:p w:rsidR="00A837A5" w:rsidRDefault="00A837A5">
      <w:pPr>
        <w:spacing w:line="560" w:lineRule="exact"/>
      </w:pPr>
    </w:p>
    <w:sectPr w:rsidR="00A837A5" w:rsidSect="008F23CD">
      <w:pgSz w:w="16838" w:h="11906" w:orient="landscape"/>
      <w:pgMar w:top="1588" w:right="2098" w:bottom="1474" w:left="1985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ZTUyZWMwNGY1NjU2OGQ5MWU4YjdkZjNkMGIzMDgifQ=="/>
  </w:docVars>
  <w:rsids>
    <w:rsidRoot w:val="001D05C7"/>
    <w:rsid w:val="001D05C7"/>
    <w:rsid w:val="008F23CD"/>
    <w:rsid w:val="00A837A5"/>
    <w:rsid w:val="00D409E0"/>
    <w:rsid w:val="020872C9"/>
    <w:rsid w:val="201C70CE"/>
    <w:rsid w:val="44D14A40"/>
    <w:rsid w:val="47BE5596"/>
    <w:rsid w:val="4C834D0F"/>
    <w:rsid w:val="4D9D13A4"/>
    <w:rsid w:val="5B3C5A4D"/>
    <w:rsid w:val="7823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1E6EF"/>
  <w15:docId w15:val="{E1FCB41B-DD0D-4792-85EF-C0FF1A67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3C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F23CD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zhangfumao315@163.com</dc:creator>
  <cp:lastModifiedBy>qq</cp:lastModifiedBy>
  <cp:revision>3</cp:revision>
  <dcterms:created xsi:type="dcterms:W3CDTF">2022-11-01T02:41:00Z</dcterms:created>
  <dcterms:modified xsi:type="dcterms:W3CDTF">2022-11-04T08:03:00Z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0BF57F3657224E2D9684CC2C95D592E4</vt:lpwstr>
  </property>
</Properties>
</file>