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E5" w:rsidRDefault="00050EE6">
      <w:pPr>
        <w:spacing w:line="560" w:lineRule="exact"/>
        <w:jc w:val="left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附件</w:t>
      </w:r>
    </w:p>
    <w:p w:rsidR="00422BE5" w:rsidRDefault="00050EE6">
      <w:pPr>
        <w:spacing w:line="560" w:lineRule="exact"/>
        <w:jc w:val="center"/>
        <w:rPr>
          <w:rFonts w:ascii="方正小标宋简体" w:eastAsia="方正小标宋简体" w:hAnsi="等线"/>
          <w:szCs w:val="32"/>
        </w:rPr>
        <w:sectPr w:rsidR="00422BE5" w:rsidSect="00A76AD5">
          <w:footerReference w:type="even" r:id="rId6"/>
          <w:footerReference w:type="default" r:id="rId7"/>
          <w:pgSz w:w="16840" w:h="11907" w:orient="landscape"/>
          <w:pgMar w:top="1588" w:right="2098" w:bottom="1474" w:left="1985" w:header="851" w:footer="992" w:gutter="0"/>
          <w:cols w:space="720"/>
          <w:docGrid w:type="linesAndChars" w:linePitch="579" w:charSpace="-842"/>
        </w:sectPr>
      </w:pPr>
      <w:bookmarkStart w:id="0" w:name="_GoBack"/>
      <w:r>
        <w:rPr>
          <w:rFonts w:ascii="方正小标宋简体" w:eastAsia="方正小标宋简体" w:hAnsi="等线" w:hint="eastAsia"/>
          <w:szCs w:val="32"/>
        </w:rPr>
        <w:t>监察执法五处</w:t>
      </w:r>
      <w:r>
        <w:rPr>
          <w:rFonts w:ascii="方正小标宋简体" w:eastAsia="方正小标宋简体" w:hAnsi="等线" w:hint="eastAsia"/>
          <w:szCs w:val="32"/>
        </w:rPr>
        <w:t>2022</w:t>
      </w:r>
      <w:r>
        <w:rPr>
          <w:rFonts w:ascii="方正小标宋简体" w:eastAsia="方正小标宋简体" w:hAnsi="等线" w:hint="eastAsia"/>
          <w:szCs w:val="32"/>
        </w:rPr>
        <w:t>年第</w:t>
      </w:r>
      <w:r>
        <w:rPr>
          <w:rFonts w:ascii="方正小标宋简体" w:eastAsia="方正小标宋简体" w:hAnsi="等线" w:hint="eastAsia"/>
          <w:szCs w:val="32"/>
        </w:rPr>
        <w:t>20</w:t>
      </w:r>
      <w:r>
        <w:rPr>
          <w:rFonts w:ascii="方正小标宋简体" w:eastAsia="方正小标宋简体" w:hAnsi="等线" w:hint="eastAsia"/>
          <w:szCs w:val="32"/>
        </w:rPr>
        <w:t>批行政处罚信息公开表</w:t>
      </w:r>
    </w:p>
    <w:tbl>
      <w:tblPr>
        <w:tblpPr w:leftFromText="180" w:rightFromText="180" w:vertAnchor="page" w:horzAnchor="margin" w:tblpXSpec="center" w:tblpY="2890"/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94"/>
        <w:gridCol w:w="1173"/>
        <w:gridCol w:w="1223"/>
        <w:gridCol w:w="6918"/>
        <w:gridCol w:w="1484"/>
        <w:gridCol w:w="1980"/>
      </w:tblGrid>
      <w:tr w:rsidR="00422BE5">
        <w:trPr>
          <w:cantSplit/>
          <w:jc w:val="center"/>
        </w:trPr>
        <w:tc>
          <w:tcPr>
            <w:tcW w:w="696" w:type="dxa"/>
            <w:vAlign w:val="center"/>
          </w:tcPr>
          <w:bookmarkEnd w:id="0"/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394" w:type="dxa"/>
            <w:vAlign w:val="center"/>
          </w:tcPr>
          <w:p w:rsidR="00422BE5" w:rsidRDefault="00050EE6">
            <w:pPr>
              <w:spacing w:line="560" w:lineRule="exact"/>
              <w:ind w:firstLineChars="50" w:firstLine="118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执法决定日期</w:t>
            </w:r>
          </w:p>
        </w:tc>
        <w:tc>
          <w:tcPr>
            <w:tcW w:w="117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执法主体</w:t>
            </w:r>
          </w:p>
        </w:tc>
        <w:tc>
          <w:tcPr>
            <w:tcW w:w="122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执法对象</w:t>
            </w:r>
          </w:p>
        </w:tc>
        <w:tc>
          <w:tcPr>
            <w:tcW w:w="6918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违法事实</w:t>
            </w:r>
          </w:p>
        </w:tc>
        <w:tc>
          <w:tcPr>
            <w:tcW w:w="1484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处罚依据</w:t>
            </w:r>
          </w:p>
        </w:tc>
        <w:tc>
          <w:tcPr>
            <w:tcW w:w="1980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处罚内容</w:t>
            </w:r>
          </w:p>
        </w:tc>
      </w:tr>
      <w:tr w:rsidR="00422BE5">
        <w:trPr>
          <w:cantSplit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1</w:t>
            </w:r>
          </w:p>
        </w:tc>
        <w:tc>
          <w:tcPr>
            <w:tcW w:w="1394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vAlign w:val="center"/>
          </w:tcPr>
          <w:p w:rsidR="00422BE5" w:rsidRDefault="00050EE6">
            <w:pPr>
              <w:spacing w:line="560" w:lineRule="exac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22</w:t>
            </w:r>
            <w:r>
              <w:rPr>
                <w:rFonts w:ascii="仿宋_GB2312" w:hint="eastAsia"/>
                <w:sz w:val="24"/>
              </w:rPr>
              <w:t>日现场检查时，</w:t>
            </w:r>
            <w:r>
              <w:rPr>
                <w:rFonts w:ascii="仿宋_GB2312" w:hint="eastAsia"/>
                <w:sz w:val="24"/>
              </w:rPr>
              <w:t>12120</w:t>
            </w:r>
            <w:r>
              <w:rPr>
                <w:rFonts w:ascii="仿宋_GB2312" w:hint="eastAsia"/>
                <w:sz w:val="24"/>
              </w:rPr>
              <w:t>综采工作面</w:t>
            </w:r>
            <w:r>
              <w:rPr>
                <w:rFonts w:ascii="仿宋_GB2312" w:hint="eastAsia"/>
                <w:sz w:val="24"/>
              </w:rPr>
              <w:t>5#</w:t>
            </w:r>
            <w:r>
              <w:rPr>
                <w:rFonts w:ascii="仿宋_GB2312" w:hint="eastAsia"/>
                <w:sz w:val="24"/>
              </w:rPr>
              <w:t>与</w:t>
            </w:r>
            <w:r>
              <w:rPr>
                <w:rFonts w:ascii="仿宋_GB2312" w:hint="eastAsia"/>
                <w:sz w:val="24"/>
              </w:rPr>
              <w:t>6#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8#</w:t>
            </w:r>
            <w:r>
              <w:rPr>
                <w:rFonts w:ascii="仿宋_GB2312" w:hint="eastAsia"/>
                <w:sz w:val="24"/>
              </w:rPr>
              <w:t>与</w:t>
            </w:r>
            <w:r>
              <w:rPr>
                <w:rFonts w:ascii="仿宋_GB2312" w:hint="eastAsia"/>
                <w:sz w:val="24"/>
              </w:rPr>
              <w:t>9#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11#</w:t>
            </w:r>
            <w:r>
              <w:rPr>
                <w:rFonts w:ascii="仿宋_GB2312" w:hint="eastAsia"/>
                <w:sz w:val="24"/>
              </w:rPr>
              <w:t>与</w:t>
            </w:r>
            <w:r>
              <w:rPr>
                <w:rFonts w:ascii="仿宋_GB2312" w:hint="eastAsia"/>
                <w:sz w:val="24"/>
              </w:rPr>
              <w:t>12#</w:t>
            </w:r>
            <w:r>
              <w:rPr>
                <w:rFonts w:ascii="仿宋_GB2312" w:hint="eastAsia"/>
                <w:sz w:val="24"/>
              </w:rPr>
              <w:t>液压支架间</w:t>
            </w:r>
            <w:proofErr w:type="gramStart"/>
            <w:r>
              <w:rPr>
                <w:rFonts w:ascii="仿宋_GB2312" w:hint="eastAsia"/>
                <w:sz w:val="24"/>
              </w:rPr>
              <w:t>错茬大于侧护</w:t>
            </w:r>
            <w:proofErr w:type="gramEnd"/>
            <w:r>
              <w:rPr>
                <w:rFonts w:ascii="仿宋_GB2312" w:hint="eastAsia"/>
                <w:sz w:val="24"/>
              </w:rPr>
              <w:t>板厚度的</w:t>
            </w:r>
            <w:r>
              <w:rPr>
                <w:rFonts w:ascii="仿宋_GB2312" w:hint="eastAsia"/>
                <w:sz w:val="24"/>
              </w:rPr>
              <w:t>2/3</w:t>
            </w:r>
            <w:r>
              <w:rPr>
                <w:rFonts w:ascii="仿宋_GB2312" w:hint="eastAsia"/>
                <w:sz w:val="24"/>
              </w:rPr>
              <w:t>；不符合《</w:t>
            </w:r>
            <w:r>
              <w:rPr>
                <w:rFonts w:ascii="仿宋_GB2312" w:hint="eastAsia"/>
                <w:sz w:val="24"/>
              </w:rPr>
              <w:t>12120</w:t>
            </w:r>
            <w:r>
              <w:rPr>
                <w:rFonts w:ascii="仿宋_GB2312" w:hint="eastAsia"/>
                <w:sz w:val="24"/>
              </w:rPr>
              <w:t>综采工作面作业规程》中“液压支架错茬不得大于侧护板厚度</w:t>
            </w:r>
            <w:r>
              <w:rPr>
                <w:rFonts w:ascii="仿宋_GB2312" w:hint="eastAsia"/>
                <w:sz w:val="24"/>
              </w:rPr>
              <w:t>2/3</w:t>
            </w:r>
            <w:r>
              <w:rPr>
                <w:rFonts w:ascii="仿宋_GB2312" w:hint="eastAsia"/>
                <w:sz w:val="24"/>
              </w:rPr>
              <w:t>”的规定；西翼皮带巷与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皮带巷交叉口附近架设的</w:t>
            </w:r>
            <w:r>
              <w:rPr>
                <w:rFonts w:ascii="仿宋_GB2312" w:hint="eastAsia"/>
                <w:sz w:val="24"/>
              </w:rPr>
              <w:t>8</w:t>
            </w:r>
            <w:r>
              <w:rPr>
                <w:rFonts w:ascii="仿宋_GB2312" w:hint="eastAsia"/>
                <w:sz w:val="24"/>
              </w:rPr>
              <w:t>架钢棚间未设撑杆或拉杆，不符合《煤矿安全规程》第一百零三条的规定。</w:t>
            </w:r>
            <w:r>
              <w:rPr>
                <w:rFonts w:ascii="仿宋_GB2312" w:hAnsi="仿宋" w:hint="eastAsia"/>
                <w:sz w:val="21"/>
                <w:szCs w:val="21"/>
              </w:rPr>
              <w:t xml:space="preserve">  </w:t>
            </w:r>
          </w:p>
        </w:tc>
        <w:tc>
          <w:tcPr>
            <w:tcW w:w="1484" w:type="dxa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980" w:type="dxa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罚款人民币贰万元整</w:t>
            </w:r>
          </w:p>
        </w:tc>
      </w:tr>
      <w:tr w:rsidR="00422BE5">
        <w:trPr>
          <w:cantSplit/>
          <w:trHeight w:val="90"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</w:t>
            </w:r>
          </w:p>
        </w:tc>
        <w:tc>
          <w:tcPr>
            <w:tcW w:w="1394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vAlign w:val="center"/>
          </w:tcPr>
          <w:p w:rsidR="00422BE5" w:rsidRDefault="00050EE6">
            <w:pPr>
              <w:spacing w:line="560" w:lineRule="exac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22</w:t>
            </w:r>
            <w:r>
              <w:rPr>
                <w:rFonts w:ascii="仿宋_GB2312" w:hint="eastAsia"/>
                <w:sz w:val="24"/>
              </w:rPr>
              <w:t>日，煤矿分别使用</w:t>
            </w:r>
            <w:r>
              <w:rPr>
                <w:rFonts w:ascii="仿宋_GB2312" w:hint="eastAsia"/>
                <w:sz w:val="24"/>
              </w:rPr>
              <w:t>2.0%</w:t>
            </w:r>
            <w:r>
              <w:rPr>
                <w:rFonts w:ascii="仿宋_GB2312" w:hint="eastAsia"/>
                <w:sz w:val="24"/>
              </w:rPr>
              <w:t>的甲烷标准气样调校</w:t>
            </w:r>
            <w:r>
              <w:rPr>
                <w:rFonts w:ascii="仿宋_GB2312" w:hint="eastAsia"/>
                <w:sz w:val="24"/>
              </w:rPr>
              <w:t>12122</w:t>
            </w:r>
            <w:proofErr w:type="gramStart"/>
            <w:r>
              <w:rPr>
                <w:rFonts w:ascii="仿宋_GB2312" w:hint="eastAsia"/>
                <w:sz w:val="24"/>
              </w:rPr>
              <w:t>切眼掘进</w:t>
            </w:r>
            <w:proofErr w:type="gramEnd"/>
            <w:r>
              <w:rPr>
                <w:rFonts w:ascii="仿宋_GB2312" w:hint="eastAsia"/>
                <w:sz w:val="24"/>
              </w:rPr>
              <w:t>工作面甲烷传感器，最大显示值为</w:t>
            </w:r>
            <w:r>
              <w:rPr>
                <w:rFonts w:ascii="仿宋_GB2312" w:hint="eastAsia"/>
                <w:sz w:val="24"/>
              </w:rPr>
              <w:t>2.5%</w:t>
            </w:r>
            <w:r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2.3%</w:t>
            </w:r>
            <w:r>
              <w:rPr>
                <w:rFonts w:ascii="仿宋_GB2312" w:hint="eastAsia"/>
                <w:sz w:val="24"/>
              </w:rPr>
              <w:t>，传感器误差超过规定，未及时更换。不符合《煤矿安全监控系统及检测仪器使用管理规范》（</w:t>
            </w:r>
            <w:r>
              <w:rPr>
                <w:rFonts w:ascii="仿宋_GB2312" w:hint="eastAsia"/>
                <w:sz w:val="24"/>
              </w:rPr>
              <w:t>AQ1029-2019</w:t>
            </w:r>
            <w:r>
              <w:rPr>
                <w:rFonts w:ascii="仿宋_GB2312" w:hint="eastAsia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8.4.6</w:t>
            </w:r>
            <w:r>
              <w:rPr>
                <w:rFonts w:ascii="仿宋_GB2312" w:hint="eastAsia"/>
                <w:sz w:val="24"/>
              </w:rPr>
              <w:t>；</w:t>
            </w:r>
            <w:r>
              <w:rPr>
                <w:rFonts w:ascii="仿宋_GB2312" w:hint="eastAsia"/>
                <w:sz w:val="24"/>
              </w:rPr>
              <w:t>12315</w:t>
            </w:r>
            <w:r>
              <w:rPr>
                <w:rFonts w:ascii="仿宋_GB2312" w:hint="eastAsia"/>
                <w:sz w:val="24"/>
              </w:rPr>
              <w:t>轨道</w:t>
            </w:r>
            <w:proofErr w:type="gramStart"/>
            <w:r>
              <w:rPr>
                <w:rFonts w:ascii="仿宋_GB2312" w:hint="eastAsia"/>
                <w:sz w:val="24"/>
              </w:rPr>
              <w:t>巷采用无极绳</w:t>
            </w:r>
            <w:proofErr w:type="gramEnd"/>
            <w:r>
              <w:rPr>
                <w:rFonts w:ascii="仿宋_GB2312" w:hint="eastAsia"/>
                <w:sz w:val="24"/>
              </w:rPr>
              <w:t>连续牵引车运输，无极</w:t>
            </w:r>
            <w:proofErr w:type="gramStart"/>
            <w:r>
              <w:rPr>
                <w:rFonts w:ascii="仿宋_GB2312" w:hint="eastAsia"/>
                <w:sz w:val="24"/>
              </w:rPr>
              <w:t>绳</w:t>
            </w:r>
            <w:proofErr w:type="gramEnd"/>
            <w:r>
              <w:rPr>
                <w:rFonts w:ascii="仿宋_GB2312" w:hint="eastAsia"/>
                <w:sz w:val="24"/>
              </w:rPr>
              <w:t>绞车设置的张紧力下降保护位置</w:t>
            </w:r>
            <w:r>
              <w:rPr>
                <w:rFonts w:ascii="仿宋_GB2312" w:hint="eastAsia"/>
                <w:sz w:val="24"/>
              </w:rPr>
              <w:lastRenderedPageBreak/>
              <w:t>错误，保护不起作用，机尾分岔轨道位置未安装越位保护，不符合《煤矿安全规程》第三百九十条第七项第一目的规定；</w:t>
            </w:r>
            <w:r>
              <w:rPr>
                <w:rFonts w:ascii="仿宋_GB2312" w:hint="eastAsia"/>
                <w:sz w:val="24"/>
              </w:rPr>
              <w:t>12120</w:t>
            </w:r>
            <w:r>
              <w:rPr>
                <w:rFonts w:ascii="仿宋_GB2312" w:hint="eastAsia"/>
                <w:sz w:val="24"/>
              </w:rPr>
              <w:t>采煤工作面液压泵站的输出压力为</w:t>
            </w:r>
            <w:r>
              <w:rPr>
                <w:rFonts w:ascii="仿宋_GB2312" w:hint="eastAsia"/>
                <w:sz w:val="24"/>
              </w:rPr>
              <w:t>29MPa</w:t>
            </w:r>
            <w:r>
              <w:rPr>
                <w:rFonts w:ascii="仿宋_GB2312" w:hint="eastAsia"/>
                <w:sz w:val="24"/>
              </w:rPr>
              <w:t>，不符合《</w:t>
            </w:r>
            <w:r>
              <w:rPr>
                <w:rFonts w:ascii="仿宋_GB2312" w:hint="eastAsia"/>
                <w:sz w:val="24"/>
              </w:rPr>
              <w:t>12120</w:t>
            </w:r>
            <w:r>
              <w:rPr>
                <w:rFonts w:ascii="仿宋_GB2312" w:hint="eastAsia"/>
                <w:sz w:val="24"/>
              </w:rPr>
              <w:t>采煤工作</w:t>
            </w:r>
            <w:r>
              <w:rPr>
                <w:rFonts w:ascii="仿宋_GB2312" w:hint="eastAsia"/>
                <w:sz w:val="24"/>
              </w:rPr>
              <w:t>面作业规程》中“液压泵站输出压力不低于</w:t>
            </w:r>
            <w:r>
              <w:rPr>
                <w:rFonts w:ascii="仿宋_GB2312" w:hint="eastAsia"/>
                <w:sz w:val="24"/>
              </w:rPr>
              <w:t>31.5MPa</w:t>
            </w:r>
            <w:r>
              <w:rPr>
                <w:rFonts w:ascii="仿宋_GB2312" w:hint="eastAsia"/>
                <w:sz w:val="24"/>
              </w:rPr>
              <w:t>”的规定；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皮带顺槽掘进工作面</w:t>
            </w:r>
            <w:r>
              <w:rPr>
                <w:rFonts w:ascii="仿宋_GB2312" w:hint="eastAsia"/>
                <w:sz w:val="24"/>
              </w:rPr>
              <w:t>67#</w:t>
            </w:r>
            <w:r>
              <w:rPr>
                <w:rFonts w:ascii="仿宋_GB2312" w:hint="eastAsia"/>
                <w:sz w:val="24"/>
              </w:rPr>
              <w:t>顶板离层指示仪未垂直顶板安设，不符合《煤矿巷道锚杆支护技术规范》（</w:t>
            </w:r>
            <w:r>
              <w:rPr>
                <w:rFonts w:ascii="仿宋_GB2312" w:hint="eastAsia"/>
                <w:sz w:val="24"/>
              </w:rPr>
              <w:t>GB/T 35056-2018</w:t>
            </w:r>
            <w:r>
              <w:rPr>
                <w:rFonts w:ascii="仿宋_GB2312" w:hint="eastAsia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C.2.1</w:t>
            </w:r>
            <w:r>
              <w:rPr>
                <w:rFonts w:ascii="仿宋_GB2312" w:hint="eastAsia"/>
                <w:sz w:val="24"/>
              </w:rPr>
              <w:t>的规定。</w:t>
            </w:r>
          </w:p>
        </w:tc>
        <w:tc>
          <w:tcPr>
            <w:tcW w:w="1484" w:type="dxa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《中华人民共和国安全生产法》第九十九条第二项</w:t>
            </w:r>
          </w:p>
        </w:tc>
        <w:tc>
          <w:tcPr>
            <w:tcW w:w="1980" w:type="dxa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肆万伍仟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_GB2312" w:hAnsi="仿宋" w:hint="eastAsia"/>
                <w:sz w:val="21"/>
                <w:szCs w:val="21"/>
              </w:rPr>
              <w:t>整</w:t>
            </w:r>
          </w:p>
        </w:tc>
      </w:tr>
      <w:tr w:rsidR="00422BE5">
        <w:trPr>
          <w:cantSplit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3</w:t>
            </w:r>
          </w:p>
        </w:tc>
        <w:tc>
          <w:tcPr>
            <w:tcW w:w="1394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vAlign w:val="center"/>
          </w:tcPr>
          <w:p w:rsidR="00422BE5" w:rsidRDefault="00050EE6">
            <w:pPr>
              <w:spacing w:line="560" w:lineRule="exac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轨道顺槽、</w:t>
            </w:r>
            <w:proofErr w:type="gramStart"/>
            <w:r>
              <w:rPr>
                <w:rFonts w:ascii="仿宋_GB2312" w:hint="eastAsia"/>
                <w:sz w:val="24"/>
              </w:rPr>
              <w:t>切眼掘进</w:t>
            </w:r>
            <w:proofErr w:type="gramEnd"/>
            <w:r>
              <w:rPr>
                <w:rFonts w:ascii="仿宋_GB2312" w:hint="eastAsia"/>
                <w:sz w:val="24"/>
              </w:rPr>
              <w:t>工作面内的综掘机、张紧绞车电机、刮板运输机电机等电气设备未按规定进行每月一次的防爆性能检查，不符合《煤矿安全规程》第</w:t>
            </w:r>
            <w:r>
              <w:rPr>
                <w:rFonts w:ascii="仿宋_GB2312" w:hint="eastAsia"/>
                <w:sz w:val="24"/>
              </w:rPr>
              <w:t>四百八十三条第一款的规定；</w:t>
            </w:r>
            <w:r>
              <w:rPr>
                <w:rFonts w:ascii="仿宋_GB2312" w:hint="eastAsia"/>
                <w:sz w:val="24"/>
              </w:rPr>
              <w:t>12315</w:t>
            </w:r>
            <w:r>
              <w:rPr>
                <w:rFonts w:ascii="仿宋_GB2312" w:hint="eastAsia"/>
                <w:sz w:val="24"/>
              </w:rPr>
              <w:t>综采工作面采煤机移动</w:t>
            </w:r>
            <w:proofErr w:type="gramStart"/>
            <w:r>
              <w:rPr>
                <w:rFonts w:ascii="仿宋_GB2312" w:hint="eastAsia"/>
                <w:sz w:val="24"/>
              </w:rPr>
              <w:t>橡</w:t>
            </w:r>
            <w:proofErr w:type="gramEnd"/>
            <w:r>
              <w:rPr>
                <w:rFonts w:ascii="仿宋_GB2312" w:hint="eastAsia"/>
                <w:sz w:val="24"/>
              </w:rPr>
              <w:t>套电缆未按规定进行每月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次的绝缘检查，不符合《煤矿安全规程》第四百八十三条第一款的规定；</w:t>
            </w:r>
            <w:r>
              <w:rPr>
                <w:rFonts w:ascii="仿宋_GB2312" w:hint="eastAsia"/>
                <w:sz w:val="24"/>
              </w:rPr>
              <w:t>12315</w:t>
            </w:r>
            <w:r>
              <w:rPr>
                <w:rFonts w:ascii="仿宋_GB2312" w:hint="eastAsia"/>
                <w:sz w:val="24"/>
              </w:rPr>
              <w:t>综采工作面轨道顺槽配备的单体液压支柱测力计损坏，无法检查单体液压支柱初撑力，不符合《中华人民共和国安全生产法》第三十六条第二款规定；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22</w:t>
            </w:r>
            <w:r>
              <w:rPr>
                <w:rFonts w:ascii="仿宋_GB2312" w:hint="eastAsia"/>
                <w:sz w:val="24"/>
              </w:rPr>
              <w:t>日现场测试，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皮带巷、</w:t>
            </w:r>
            <w:r>
              <w:rPr>
                <w:rFonts w:ascii="仿宋_GB2312" w:hint="eastAsia"/>
                <w:sz w:val="24"/>
              </w:rPr>
              <w:t>12122</w:t>
            </w:r>
            <w:proofErr w:type="gramStart"/>
            <w:r>
              <w:rPr>
                <w:rFonts w:ascii="仿宋_GB2312" w:hint="eastAsia"/>
                <w:sz w:val="24"/>
              </w:rPr>
              <w:t>切眼掘进</w:t>
            </w:r>
            <w:proofErr w:type="gramEnd"/>
            <w:r>
              <w:rPr>
                <w:rFonts w:ascii="仿宋_GB2312" w:hint="eastAsia"/>
                <w:sz w:val="24"/>
              </w:rPr>
              <w:t>工作面回风甲烷传感器在瓦斯超限需要立即撤人</w:t>
            </w:r>
            <w:r>
              <w:rPr>
                <w:rFonts w:ascii="仿宋_GB2312" w:hint="eastAsia"/>
                <w:sz w:val="24"/>
              </w:rPr>
              <w:lastRenderedPageBreak/>
              <w:t>的紧急情况下，部分人员位置监测</w:t>
            </w:r>
            <w:proofErr w:type="gramStart"/>
            <w:r>
              <w:rPr>
                <w:rFonts w:ascii="仿宋_GB2312" w:hint="eastAsia"/>
                <w:sz w:val="24"/>
              </w:rPr>
              <w:t>识别卡未实现</w:t>
            </w:r>
            <w:proofErr w:type="gramEnd"/>
            <w:r>
              <w:rPr>
                <w:rFonts w:ascii="仿宋_GB2312" w:hint="eastAsia"/>
                <w:sz w:val="24"/>
              </w:rPr>
              <w:t>应急联动，不符合《煤矿安全监控系统及检测仪器使用管理规范》（</w:t>
            </w:r>
            <w:r>
              <w:rPr>
                <w:rFonts w:ascii="仿宋_GB2312" w:hint="eastAsia"/>
                <w:sz w:val="24"/>
              </w:rPr>
              <w:t>AQ1029-</w:t>
            </w:r>
            <w:r>
              <w:rPr>
                <w:rFonts w:ascii="仿宋_GB2312" w:hint="eastAsia"/>
                <w:sz w:val="24"/>
              </w:rPr>
              <w:t>2019</w:t>
            </w:r>
            <w:r>
              <w:rPr>
                <w:rFonts w:ascii="仿宋_GB2312" w:hint="eastAsia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4.10</w:t>
            </w:r>
            <w:r>
              <w:rPr>
                <w:rFonts w:ascii="仿宋_GB2312" w:hint="eastAsia"/>
                <w:sz w:val="24"/>
              </w:rPr>
              <w:t>的规定；</w:t>
            </w:r>
            <w:r>
              <w:rPr>
                <w:rFonts w:ascii="仿宋_GB2312" w:hint="eastAsia"/>
                <w:sz w:val="24"/>
              </w:rPr>
              <w:t>12319</w:t>
            </w:r>
            <w:r>
              <w:rPr>
                <w:rFonts w:ascii="仿宋_GB2312" w:hint="eastAsia"/>
                <w:sz w:val="24"/>
              </w:rPr>
              <w:t>皮带巷掘进工作面使用的锚杆力扭矩扳手指针失效，无法准确测出锚杆锚固力，不符合《煤矿安全规程》第四条第五款要求；查人员位置监测系统，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日至</w:t>
            </w:r>
            <w:r>
              <w:rPr>
                <w:rFonts w:ascii="仿宋_GB2312" w:hint="eastAsia"/>
                <w:sz w:val="24"/>
              </w:rPr>
              <w:t>10</w:t>
            </w:r>
            <w:r>
              <w:rPr>
                <w:rFonts w:ascii="仿宋_GB2312" w:hint="eastAsia"/>
                <w:sz w:val="24"/>
              </w:rPr>
              <w:t>日李继峰、邱存才、贾继来等人的标识</w:t>
            </w:r>
            <w:proofErr w:type="gramStart"/>
            <w:r>
              <w:rPr>
                <w:rFonts w:ascii="仿宋_GB2312" w:hint="eastAsia"/>
                <w:sz w:val="24"/>
              </w:rPr>
              <w:t>卡欠电</w:t>
            </w:r>
            <w:proofErr w:type="gramEnd"/>
            <w:r>
              <w:rPr>
                <w:rFonts w:ascii="仿宋_GB2312" w:hint="eastAsia"/>
                <w:sz w:val="24"/>
              </w:rPr>
              <w:t>，不能正常读取出井信息，未及时维修或更换标识卡电池，不符合《煤矿安全规程》第四条第五款的规定；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22</w:t>
            </w:r>
            <w:r>
              <w:rPr>
                <w:rFonts w:ascii="仿宋_GB2312" w:hint="eastAsia"/>
                <w:sz w:val="24"/>
              </w:rPr>
              <w:t>日现场检查时，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皮带巷掘进工作面滚筒驱动带式输送机沿线急停装置安设不规范，未及时维护调整，在</w:t>
            </w:r>
            <w:r>
              <w:rPr>
                <w:rFonts w:ascii="仿宋_GB2312" w:hint="eastAsia"/>
                <w:sz w:val="24"/>
              </w:rPr>
              <w:t>13</w:t>
            </w:r>
            <w:r>
              <w:rPr>
                <w:rFonts w:ascii="仿宋_GB2312" w:hint="eastAsia"/>
                <w:sz w:val="24"/>
              </w:rPr>
              <w:t>号皮带架附近试验时沿线急停保护不起作用，不符合《中华人民共和国安全</w:t>
            </w:r>
            <w:r>
              <w:rPr>
                <w:rFonts w:ascii="仿宋_GB2312" w:hint="eastAsia"/>
                <w:sz w:val="24"/>
              </w:rPr>
              <w:t>生产法》第三十六条第二款的规定；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22</w:t>
            </w:r>
            <w:r>
              <w:rPr>
                <w:rFonts w:ascii="仿宋_GB2312" w:hint="eastAsia"/>
                <w:sz w:val="24"/>
              </w:rPr>
              <w:t>日对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皮带巷掘进工作面回风甲烷传感器进行瓦斯超限试验，试验使用的</w:t>
            </w:r>
            <w:r>
              <w:rPr>
                <w:rFonts w:ascii="仿宋_GB2312" w:hint="eastAsia"/>
                <w:sz w:val="24"/>
              </w:rPr>
              <w:t>BAX-1</w:t>
            </w:r>
            <w:r>
              <w:rPr>
                <w:rFonts w:ascii="仿宋_GB2312" w:hint="eastAsia"/>
                <w:sz w:val="24"/>
              </w:rPr>
              <w:t>（</w:t>
            </w:r>
            <w:r>
              <w:rPr>
                <w:rFonts w:ascii="仿宋_GB2312" w:hint="eastAsia"/>
                <w:sz w:val="24"/>
              </w:rPr>
              <w:t>B</w:t>
            </w:r>
            <w:r>
              <w:rPr>
                <w:rFonts w:ascii="仿宋_GB2312" w:hint="eastAsia"/>
                <w:sz w:val="24"/>
              </w:rPr>
              <w:t>）型精密气体流量调校气瓶压力表（空气样侧）损坏、用于稳定控制流量的阀门损坏，不符合《煤矿安全规程》第四条第五款的规定；经现场测试，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皮带巷掘进</w:t>
            </w:r>
            <w:r>
              <w:rPr>
                <w:rFonts w:ascii="仿宋_GB2312" w:hint="eastAsia"/>
                <w:sz w:val="24"/>
              </w:rPr>
              <w:lastRenderedPageBreak/>
              <w:t>工作面配备的应急广播声音小，不能保证施工人员听见应急指令，不符合《煤矿安全规程》第六百八十五条的规定；检查煤矿井下西翼永久避险硐室配备应急物资，配备的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台小灵通缺乏维护，已不能正常工作，不符合《生产安全事故应急预案管理办法》第</w:t>
            </w:r>
            <w:r>
              <w:rPr>
                <w:rFonts w:ascii="仿宋_GB2312" w:hint="eastAsia"/>
                <w:sz w:val="24"/>
              </w:rPr>
              <w:t>三十八条的规定；查看《一炮三检原始记录》，采二工区</w:t>
            </w:r>
            <w:proofErr w:type="gramStart"/>
            <w:r>
              <w:rPr>
                <w:rFonts w:ascii="仿宋_GB2312" w:hint="eastAsia"/>
                <w:sz w:val="24"/>
              </w:rPr>
              <w:t>爆破工马运</w:t>
            </w:r>
            <w:proofErr w:type="gramEnd"/>
            <w:r>
              <w:rPr>
                <w:rFonts w:ascii="仿宋_GB2312" w:hint="eastAsia"/>
                <w:sz w:val="24"/>
              </w:rPr>
              <w:t>涛于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日夜班在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皮带顺槽作业，查看区域和精确人员位置监测系统，无当日的下井轨迹，人员位置识别卡损坏未及时维修或更换，不符合《煤矿安全规程》第四条第五款的规定。</w:t>
            </w:r>
          </w:p>
        </w:tc>
        <w:tc>
          <w:tcPr>
            <w:tcW w:w="1484" w:type="dxa"/>
            <w:vAlign w:val="center"/>
          </w:tcPr>
          <w:p w:rsidR="00422BE5" w:rsidRDefault="00050EE6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《中华人民共和国安全生产法》第九十九条第三项</w:t>
            </w:r>
          </w:p>
        </w:tc>
        <w:tc>
          <w:tcPr>
            <w:tcW w:w="1980" w:type="dxa"/>
            <w:vAlign w:val="center"/>
          </w:tcPr>
          <w:p w:rsidR="00422BE5" w:rsidRDefault="00050EE6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肆万伍仟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元</w:t>
            </w:r>
            <w:r>
              <w:rPr>
                <w:rFonts w:ascii="仿宋_GB2312" w:hAnsi="仿宋" w:hint="eastAsia"/>
                <w:sz w:val="21"/>
                <w:szCs w:val="21"/>
              </w:rPr>
              <w:t>整</w:t>
            </w:r>
          </w:p>
        </w:tc>
      </w:tr>
      <w:tr w:rsidR="00422BE5">
        <w:trPr>
          <w:cantSplit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1394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vAlign w:val="center"/>
          </w:tcPr>
          <w:p w:rsidR="00422BE5" w:rsidRDefault="00050EE6">
            <w:pPr>
              <w:spacing w:line="560" w:lineRule="exac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轨道顺槽第一部、第二部滚筒带式输送机机头处</w:t>
            </w:r>
            <w:r>
              <w:rPr>
                <w:rFonts w:ascii="仿宋_GB2312" w:hint="eastAsia"/>
                <w:sz w:val="24"/>
              </w:rPr>
              <w:t>15-20m</w:t>
            </w:r>
            <w:r>
              <w:rPr>
                <w:rFonts w:ascii="仿宋_GB2312" w:hint="eastAsia"/>
                <w:sz w:val="24"/>
              </w:rPr>
              <w:t>范围内底皮带磨上皮带底托辊，未及时采取措施消除隐患，不符合《中华人民共和国安全生产法》第四十一条第二款的规定；四上采区皮带巷掘进工作面</w:t>
            </w:r>
            <w:proofErr w:type="gramStart"/>
            <w:r>
              <w:rPr>
                <w:rFonts w:ascii="仿宋_GB2312" w:hint="eastAsia"/>
                <w:sz w:val="24"/>
              </w:rPr>
              <w:t>综掘机二</w:t>
            </w:r>
            <w:proofErr w:type="gramEnd"/>
            <w:r>
              <w:rPr>
                <w:rFonts w:ascii="仿宋_GB2312" w:hint="eastAsia"/>
                <w:sz w:val="24"/>
              </w:rPr>
              <w:t>运跑道联接横梁处未安装底托辊，底皮带磨钢架横梁钢管，矿未及时发现并消除事故隐患，不符合《煤矿安全规程》第四条第五款要求。</w:t>
            </w:r>
          </w:p>
        </w:tc>
        <w:tc>
          <w:tcPr>
            <w:tcW w:w="1484" w:type="dxa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980" w:type="dxa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罚款人民币叁万元整</w:t>
            </w:r>
          </w:p>
        </w:tc>
      </w:tr>
      <w:tr w:rsidR="00422BE5">
        <w:trPr>
          <w:cantSplit/>
          <w:trHeight w:val="2247"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2BE5" w:rsidRDefault="00422BE5">
            <w:pPr>
              <w:spacing w:line="560" w:lineRule="exact"/>
              <w:rPr>
                <w:rFonts w:ascii="仿宋_GB2312" w:hAnsi="仿宋"/>
                <w:szCs w:val="32"/>
              </w:rPr>
            </w:pPr>
          </w:p>
          <w:p w:rsidR="00422BE5" w:rsidRDefault="00050EE6">
            <w:pPr>
              <w:spacing w:line="560" w:lineRule="exact"/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8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27</w:t>
            </w:r>
            <w:r>
              <w:rPr>
                <w:rFonts w:ascii="仿宋_GB2312" w:hint="eastAsia"/>
                <w:sz w:val="24"/>
              </w:rPr>
              <w:t>日四上采区皮带巷启封密闭排放瓦斯，恢复通风到</w:t>
            </w:r>
            <w:proofErr w:type="gramStart"/>
            <w:r>
              <w:rPr>
                <w:rFonts w:ascii="仿宋_GB2312" w:hint="eastAsia"/>
                <w:sz w:val="24"/>
              </w:rPr>
              <w:t>迎头时</w:t>
            </w:r>
            <w:proofErr w:type="gramEnd"/>
            <w:r>
              <w:rPr>
                <w:rFonts w:ascii="仿宋_GB2312" w:hint="eastAsia"/>
                <w:sz w:val="24"/>
              </w:rPr>
              <w:t>检查瓦斯等气体不超限后，稳定</w:t>
            </w:r>
            <w:r>
              <w:rPr>
                <w:rFonts w:ascii="仿宋_GB2312" w:hint="eastAsia"/>
                <w:sz w:val="24"/>
              </w:rPr>
              <w:t>21</w:t>
            </w:r>
            <w:r>
              <w:rPr>
                <w:rFonts w:ascii="仿宋_GB2312" w:hint="eastAsia"/>
                <w:sz w:val="24"/>
              </w:rPr>
              <w:t>分钟即汇报调度室结束排放通知送电，不符合该巷道启封密闭排放气体安全措施“稳定</w:t>
            </w:r>
            <w:r>
              <w:rPr>
                <w:rFonts w:ascii="仿宋_GB2312" w:hint="eastAsia"/>
                <w:sz w:val="24"/>
              </w:rPr>
              <w:t>30</w:t>
            </w:r>
            <w:r>
              <w:rPr>
                <w:rFonts w:ascii="仿宋_GB2312" w:hint="eastAsia"/>
                <w:sz w:val="24"/>
              </w:rPr>
              <w:t>分钟后方可恢复送电”的规定；</w:t>
            </w:r>
            <w:r>
              <w:rPr>
                <w:rFonts w:ascii="仿宋_GB2312" w:hint="eastAsia"/>
                <w:sz w:val="24"/>
              </w:rPr>
              <w:t>12319</w:t>
            </w:r>
            <w:r>
              <w:rPr>
                <w:rFonts w:ascii="仿宋_GB2312" w:hint="eastAsia"/>
                <w:sz w:val="24"/>
              </w:rPr>
              <w:t>皮带巷、四上采区皮带巷掘进工作面</w:t>
            </w:r>
            <w:proofErr w:type="gramStart"/>
            <w:r>
              <w:rPr>
                <w:rFonts w:ascii="仿宋_GB2312" w:hint="eastAsia"/>
                <w:sz w:val="24"/>
              </w:rPr>
              <w:t>炮掘段巷道</w:t>
            </w:r>
            <w:proofErr w:type="gramEnd"/>
            <w:r>
              <w:rPr>
                <w:rFonts w:ascii="仿宋_GB2312" w:hint="eastAsia"/>
                <w:sz w:val="24"/>
              </w:rPr>
              <w:t>全断面分次起爆，未制定安全措施，不符合《煤矿安全规程》第三百五十一条第一款规定；</w:t>
            </w:r>
            <w:r>
              <w:rPr>
                <w:rFonts w:ascii="仿宋_GB2312" w:hint="eastAsia"/>
                <w:sz w:val="24"/>
              </w:rPr>
              <w:t>12122</w:t>
            </w:r>
            <w:proofErr w:type="gramStart"/>
            <w:r>
              <w:rPr>
                <w:rFonts w:ascii="仿宋_GB2312" w:hint="eastAsia"/>
                <w:sz w:val="24"/>
              </w:rPr>
              <w:t>切眼掘进</w:t>
            </w:r>
            <w:proofErr w:type="gramEnd"/>
            <w:r>
              <w:rPr>
                <w:rFonts w:ascii="仿宋_GB2312" w:hint="eastAsia"/>
                <w:sz w:val="24"/>
              </w:rPr>
              <w:t>工作面未按照设计规定安装水泵，不符合《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切眼掘进工作面作业规程》“工作面设计安装功率</w:t>
            </w:r>
            <w:r>
              <w:rPr>
                <w:rFonts w:ascii="仿宋_GB2312" w:hint="eastAsia"/>
                <w:sz w:val="24"/>
              </w:rPr>
              <w:t>7.5kw</w:t>
            </w:r>
            <w:r>
              <w:rPr>
                <w:rFonts w:ascii="仿宋_GB2312" w:hint="eastAsia"/>
                <w:sz w:val="24"/>
              </w:rPr>
              <w:t>水泵”规定。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</w:t>
            </w:r>
            <w:r>
              <w:rPr>
                <w:rFonts w:ascii="仿宋" w:eastAsia="仿宋" w:hAnsi="仿宋" w:hint="eastAsia"/>
                <w:sz w:val="24"/>
              </w:rPr>
              <w:t>五条第一项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警告，并罚款人民币贰万元整</w:t>
            </w:r>
          </w:p>
        </w:tc>
      </w:tr>
      <w:tr w:rsidR="00422BE5">
        <w:trPr>
          <w:cantSplit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2BE5" w:rsidRDefault="00422BE5">
            <w:pPr>
              <w:spacing w:line="560" w:lineRule="exact"/>
              <w:rPr>
                <w:rFonts w:ascii="仿宋_GB2312" w:hAnsi="仿宋"/>
                <w:szCs w:val="32"/>
              </w:rPr>
            </w:pPr>
          </w:p>
          <w:p w:rsidR="00422BE5" w:rsidRDefault="00422BE5">
            <w:pPr>
              <w:spacing w:line="560" w:lineRule="exact"/>
              <w:rPr>
                <w:rFonts w:ascii="仿宋_GB2312" w:hAnsi="仿宋"/>
                <w:szCs w:val="32"/>
              </w:rPr>
            </w:pPr>
          </w:p>
          <w:p w:rsidR="00422BE5" w:rsidRDefault="00050EE6">
            <w:pPr>
              <w:spacing w:line="560" w:lineRule="exact"/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20</w:t>
            </w:r>
            <w:r>
              <w:rPr>
                <w:rFonts w:ascii="仿宋_GB2312" w:hint="eastAsia"/>
                <w:sz w:val="24"/>
              </w:rPr>
              <w:t>日早</w:t>
            </w:r>
            <w:r>
              <w:rPr>
                <w:rFonts w:ascii="仿宋_GB2312" w:hint="eastAsia"/>
                <w:sz w:val="24"/>
              </w:rPr>
              <w:t>8</w:t>
            </w:r>
            <w:r>
              <w:rPr>
                <w:rFonts w:ascii="仿宋_GB2312" w:hint="eastAsia"/>
                <w:sz w:val="24"/>
              </w:rPr>
              <w:t>时至</w:t>
            </w:r>
            <w:r>
              <w:rPr>
                <w:rFonts w:ascii="仿宋_GB2312" w:hint="eastAsia"/>
                <w:sz w:val="24"/>
              </w:rPr>
              <w:t>18</w:t>
            </w:r>
            <w:r>
              <w:rPr>
                <w:rFonts w:ascii="仿宋_GB2312" w:hint="eastAsia"/>
                <w:sz w:val="24"/>
              </w:rPr>
              <w:t>时，</w:t>
            </w:r>
            <w:r>
              <w:rPr>
                <w:rFonts w:ascii="仿宋_GB2312" w:hint="eastAsia"/>
                <w:sz w:val="24"/>
              </w:rPr>
              <w:t>12122</w:t>
            </w:r>
            <w:proofErr w:type="gramStart"/>
            <w:r>
              <w:rPr>
                <w:rFonts w:ascii="仿宋_GB2312" w:hint="eastAsia"/>
                <w:sz w:val="24"/>
              </w:rPr>
              <w:t>切眼掘进</w:t>
            </w:r>
            <w:proofErr w:type="gramEnd"/>
            <w:r>
              <w:rPr>
                <w:rFonts w:ascii="仿宋_GB2312" w:hint="eastAsia"/>
                <w:sz w:val="24"/>
              </w:rPr>
              <w:t>工作面局部通风机风筒状态传感器故障，风电闭锁所关联的馈电开关保护动作</w:t>
            </w:r>
            <w:r>
              <w:rPr>
                <w:rFonts w:ascii="仿宋_GB2312" w:hint="eastAsia"/>
                <w:sz w:val="24"/>
              </w:rPr>
              <w:t>35</w:t>
            </w:r>
            <w:r>
              <w:rPr>
                <w:rFonts w:ascii="仿宋_GB2312" w:hint="eastAsia"/>
                <w:sz w:val="24"/>
              </w:rPr>
              <w:t>次，未及时处置故障并填写处置记录，不符合《煤矿安全规程》第四百九十四条的规定；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轨道顺槽</w:t>
            </w:r>
            <w:proofErr w:type="gramStart"/>
            <w:r>
              <w:rPr>
                <w:rFonts w:ascii="仿宋_GB2312" w:hint="eastAsia"/>
                <w:sz w:val="24"/>
              </w:rPr>
              <w:t>与切眼交叉点</w:t>
            </w:r>
            <w:proofErr w:type="gramEnd"/>
            <w:r>
              <w:rPr>
                <w:rFonts w:ascii="仿宋_GB2312" w:hint="eastAsia"/>
                <w:sz w:val="24"/>
              </w:rPr>
              <w:t>采用锚网索支护，</w:t>
            </w:r>
            <w:proofErr w:type="gramStart"/>
            <w:r>
              <w:rPr>
                <w:rFonts w:ascii="仿宋_GB2312" w:hint="eastAsia"/>
                <w:sz w:val="24"/>
              </w:rPr>
              <w:t>三岔门位置</w:t>
            </w:r>
            <w:proofErr w:type="gramEnd"/>
            <w:r>
              <w:rPr>
                <w:rFonts w:ascii="仿宋_GB2312" w:hint="eastAsia"/>
                <w:sz w:val="24"/>
              </w:rPr>
              <w:t>承重煤垛受压破碎，</w:t>
            </w:r>
            <w:r>
              <w:rPr>
                <w:rFonts w:ascii="仿宋_GB2312" w:hint="eastAsia"/>
                <w:sz w:val="24"/>
              </w:rPr>
              <w:t>5</w:t>
            </w:r>
            <w:r>
              <w:rPr>
                <w:rFonts w:ascii="仿宋_GB2312" w:hint="eastAsia"/>
                <w:sz w:val="24"/>
              </w:rPr>
              <w:t>根锚杆盘未紧贴煤壁，</w:t>
            </w:r>
            <w:proofErr w:type="gramStart"/>
            <w:r>
              <w:rPr>
                <w:rFonts w:ascii="仿宋_GB2312" w:hint="eastAsia"/>
                <w:sz w:val="24"/>
              </w:rPr>
              <w:t>菱形网未</w:t>
            </w:r>
            <w:proofErr w:type="gramEnd"/>
            <w:r>
              <w:rPr>
                <w:rFonts w:ascii="仿宋_GB2312" w:hint="eastAsia"/>
                <w:sz w:val="24"/>
              </w:rPr>
              <w:t>连接成完整的整体，不符合《煤矿安全规程》第一百二十五条的规定；</w:t>
            </w:r>
            <w:r>
              <w:rPr>
                <w:rFonts w:ascii="仿宋_GB2312" w:hint="eastAsia"/>
                <w:sz w:val="24"/>
              </w:rPr>
              <w:t>12122</w:t>
            </w:r>
            <w:proofErr w:type="gramStart"/>
            <w:r>
              <w:rPr>
                <w:rFonts w:ascii="仿宋_GB2312" w:hint="eastAsia"/>
                <w:sz w:val="24"/>
              </w:rPr>
              <w:t>切眼掘进</w:t>
            </w:r>
            <w:proofErr w:type="gramEnd"/>
            <w:r>
              <w:rPr>
                <w:rFonts w:ascii="仿宋_GB2312" w:hint="eastAsia"/>
                <w:sz w:val="24"/>
              </w:rPr>
              <w:t>工作面已施工</w:t>
            </w:r>
            <w:r>
              <w:rPr>
                <w:rFonts w:ascii="仿宋_GB2312" w:hint="eastAsia"/>
                <w:sz w:val="24"/>
              </w:rPr>
              <w:t>50m</w:t>
            </w:r>
            <w:r>
              <w:rPr>
                <w:rFonts w:ascii="仿宋_GB2312" w:hint="eastAsia"/>
                <w:sz w:val="24"/>
              </w:rPr>
              <w:t>，迎头掘进方向的左</w:t>
            </w:r>
            <w:r>
              <w:rPr>
                <w:rFonts w:ascii="仿宋_GB2312" w:hint="eastAsia"/>
                <w:sz w:val="24"/>
              </w:rPr>
              <w:lastRenderedPageBreak/>
              <w:t>帮未进行支护，未打</w:t>
            </w:r>
            <w:proofErr w:type="gramStart"/>
            <w:r>
              <w:rPr>
                <w:rFonts w:ascii="仿宋_GB2312" w:hint="eastAsia"/>
                <w:sz w:val="24"/>
              </w:rPr>
              <w:t>设贴帮</w:t>
            </w:r>
            <w:proofErr w:type="gramEnd"/>
            <w:r>
              <w:rPr>
                <w:rFonts w:ascii="仿宋_GB2312" w:hint="eastAsia"/>
                <w:sz w:val="24"/>
              </w:rPr>
              <w:t>点柱，不符合《煤矿安全规程》第一百二十五条的规定；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9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22</w:t>
            </w:r>
            <w:r>
              <w:rPr>
                <w:rFonts w:ascii="仿宋_GB2312" w:hint="eastAsia"/>
                <w:sz w:val="24"/>
              </w:rPr>
              <w:t>日现场检查时，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皮带巷掘进工作面后部揭露断层（</w:t>
            </w:r>
            <w:r>
              <w:rPr>
                <w:rFonts w:ascii="仿宋_GB2312" w:hint="eastAsia"/>
                <w:sz w:val="24"/>
              </w:rPr>
              <w:t>H=0.5m</w:t>
            </w:r>
            <w:r>
              <w:rPr>
                <w:rFonts w:ascii="仿宋_GB2312" w:hint="eastAsia"/>
                <w:sz w:val="24"/>
              </w:rPr>
              <w:t>），</w:t>
            </w:r>
            <w:proofErr w:type="gramStart"/>
            <w:r>
              <w:rPr>
                <w:rFonts w:ascii="仿宋_GB2312" w:hint="eastAsia"/>
                <w:sz w:val="24"/>
              </w:rPr>
              <w:t>巷道帮部永久支护</w:t>
            </w:r>
            <w:proofErr w:type="gramEnd"/>
            <w:r>
              <w:rPr>
                <w:rFonts w:ascii="仿宋_GB2312" w:hint="eastAsia"/>
                <w:sz w:val="24"/>
              </w:rPr>
              <w:t>未紧跟迎头（距迎头约</w:t>
            </w:r>
            <w:r>
              <w:rPr>
                <w:rFonts w:ascii="仿宋_GB2312" w:hint="eastAsia"/>
                <w:sz w:val="24"/>
              </w:rPr>
              <w:t>7m</w:t>
            </w:r>
            <w:r>
              <w:rPr>
                <w:rFonts w:ascii="仿宋_GB2312" w:hint="eastAsia"/>
                <w:sz w:val="24"/>
              </w:rPr>
              <w:t>），不符合《</w:t>
            </w:r>
            <w:r>
              <w:rPr>
                <w:rFonts w:ascii="仿宋_GB2312" w:hint="eastAsia"/>
                <w:sz w:val="24"/>
              </w:rPr>
              <w:t>12122</w:t>
            </w:r>
            <w:r>
              <w:rPr>
                <w:rFonts w:ascii="仿宋_GB2312" w:hint="eastAsia"/>
                <w:sz w:val="24"/>
              </w:rPr>
              <w:t>皮带巷掘进工作面作业规程》中“巷道遇断层、帮部离层破碎带、折帮严重段等特殊构造时，帮部支护紧跟迎头”要求；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7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31</w:t>
            </w:r>
            <w:r>
              <w:rPr>
                <w:rFonts w:ascii="仿宋_GB2312" w:hint="eastAsia"/>
                <w:sz w:val="24"/>
              </w:rPr>
              <w:t>日早班，</w:t>
            </w:r>
            <w:r>
              <w:rPr>
                <w:rFonts w:ascii="仿宋_GB2312" w:hint="eastAsia"/>
                <w:sz w:val="24"/>
              </w:rPr>
              <w:t>12319</w:t>
            </w:r>
            <w:r>
              <w:rPr>
                <w:rFonts w:ascii="仿宋_GB2312" w:hint="eastAsia"/>
                <w:sz w:val="24"/>
              </w:rPr>
              <w:t>皮带巷掘进工作面一次爆破实际使用炸药量为</w:t>
            </w:r>
            <w:r>
              <w:rPr>
                <w:rFonts w:ascii="仿宋_GB2312" w:hint="eastAsia"/>
                <w:sz w:val="24"/>
              </w:rPr>
              <w:t>24kg</w:t>
            </w:r>
            <w:r>
              <w:rPr>
                <w:rFonts w:ascii="仿宋_GB2312" w:hint="eastAsia"/>
                <w:sz w:val="24"/>
              </w:rPr>
              <w:t>，超过爆破说明书一次爆破不超过</w:t>
            </w:r>
            <w:r>
              <w:rPr>
                <w:rFonts w:ascii="仿宋_GB2312" w:hint="eastAsia"/>
                <w:sz w:val="24"/>
              </w:rPr>
              <w:t>19.8kg</w:t>
            </w:r>
            <w:r>
              <w:rPr>
                <w:rFonts w:ascii="仿宋_GB2312" w:hint="eastAsia"/>
                <w:sz w:val="24"/>
              </w:rPr>
              <w:t>规定，不符合《煤矿安全规程》第三百四十八条第二款规定。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柒万元</w:t>
            </w:r>
            <w:r>
              <w:rPr>
                <w:rFonts w:ascii="仿宋_GB2312" w:hAnsi="仿宋" w:hint="eastAsia"/>
                <w:sz w:val="21"/>
                <w:szCs w:val="21"/>
              </w:rPr>
              <w:t>整</w:t>
            </w:r>
          </w:p>
        </w:tc>
      </w:tr>
      <w:tr w:rsidR="00422BE5">
        <w:trPr>
          <w:cantSplit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2BE5" w:rsidRDefault="00422BE5">
            <w:pPr>
              <w:spacing w:line="560" w:lineRule="exact"/>
              <w:rPr>
                <w:rFonts w:ascii="仿宋_GB2312" w:hAnsi="仿宋"/>
                <w:szCs w:val="32"/>
              </w:rPr>
            </w:pPr>
          </w:p>
          <w:p w:rsidR="00422BE5" w:rsidRDefault="00050EE6">
            <w:pPr>
              <w:spacing w:line="560" w:lineRule="exact"/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422BE5" w:rsidRDefault="00050EE6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int="eastAsia"/>
                <w:sz w:val="24"/>
              </w:rPr>
              <w:t>煤矿配备的专职安全培训管理人员数量为</w:t>
            </w:r>
            <w:r>
              <w:rPr>
                <w:rFonts w:ascii="仿宋_GB2312" w:hint="eastAsia"/>
                <w:sz w:val="24"/>
              </w:rPr>
              <w:t>2</w:t>
            </w:r>
            <w:r>
              <w:rPr>
                <w:rFonts w:ascii="仿宋_GB2312" w:hint="eastAsia"/>
                <w:sz w:val="24"/>
              </w:rPr>
              <w:t>名，达不到《安全培训机构基本条件》（</w:t>
            </w:r>
            <w:r>
              <w:rPr>
                <w:rFonts w:ascii="仿宋_GB2312" w:hint="eastAsia"/>
                <w:sz w:val="24"/>
              </w:rPr>
              <w:t>AQ/T8011</w:t>
            </w:r>
            <w:r>
              <w:rPr>
                <w:rFonts w:ascii="仿宋_GB2312" w:hint="eastAsia"/>
                <w:sz w:val="24"/>
              </w:rPr>
              <w:t>）</w:t>
            </w:r>
            <w:r>
              <w:rPr>
                <w:rFonts w:ascii="仿宋_GB2312" w:hint="eastAsia"/>
                <w:sz w:val="24"/>
              </w:rPr>
              <w:t>3.1.1</w:t>
            </w:r>
            <w:r>
              <w:rPr>
                <w:rFonts w:ascii="仿宋_GB2312" w:hint="eastAsia"/>
                <w:sz w:val="24"/>
              </w:rPr>
              <w:t>要求，不具备开展自主安全培训条件。煤矿</w:t>
            </w:r>
            <w:r>
              <w:rPr>
                <w:rFonts w:ascii="仿宋_GB2312" w:hint="eastAsia"/>
                <w:sz w:val="24"/>
              </w:rPr>
              <w:t>2021</w:t>
            </w:r>
            <w:r>
              <w:rPr>
                <w:rFonts w:ascii="仿宋_GB2312" w:hint="eastAsia"/>
                <w:sz w:val="24"/>
              </w:rPr>
              <w:t>年、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年自主开展了安全生产事故应急救援预案培训、年度安全风险辨识结果培训等法律法规要求的安全培训，不符合《煤矿安全培训规定》第七条第一、二款的规定。</w:t>
            </w:r>
          </w:p>
          <w:p w:rsidR="00422BE5" w:rsidRDefault="00422BE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《煤矿安全培训规定》第四十八条第一款第五项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罚款人民币贰万元整</w:t>
            </w:r>
          </w:p>
        </w:tc>
      </w:tr>
      <w:tr w:rsidR="00422BE5">
        <w:trPr>
          <w:cantSplit/>
          <w:jc w:val="center"/>
        </w:trPr>
        <w:tc>
          <w:tcPr>
            <w:tcW w:w="696" w:type="dxa"/>
            <w:vAlign w:val="center"/>
          </w:tcPr>
          <w:p w:rsidR="00422BE5" w:rsidRDefault="00050EE6">
            <w:pPr>
              <w:spacing w:line="56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lastRenderedPageBreak/>
              <w:t>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22BE5" w:rsidRDefault="00422BE5">
            <w:pPr>
              <w:spacing w:line="560" w:lineRule="exact"/>
              <w:rPr>
                <w:rFonts w:ascii="仿宋_GB2312" w:hAnsi="仿宋"/>
                <w:sz w:val="21"/>
                <w:szCs w:val="21"/>
              </w:rPr>
            </w:pPr>
          </w:p>
          <w:p w:rsidR="00422BE5" w:rsidRDefault="00050EE6">
            <w:pPr>
              <w:spacing w:line="56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2022</w:t>
            </w:r>
            <w:r>
              <w:rPr>
                <w:rFonts w:ascii="仿宋_GB2312" w:hAnsi="仿宋" w:hint="eastAsia"/>
                <w:sz w:val="21"/>
                <w:szCs w:val="21"/>
              </w:rPr>
              <w:t>年</w:t>
            </w:r>
            <w:r>
              <w:rPr>
                <w:rFonts w:ascii="仿宋_GB2312" w:hAnsi="仿宋" w:hint="eastAsia"/>
                <w:sz w:val="21"/>
                <w:szCs w:val="21"/>
              </w:rPr>
              <w:t>10</w:t>
            </w:r>
            <w:r>
              <w:rPr>
                <w:rFonts w:ascii="仿宋_GB2312" w:hAnsi="仿宋" w:hint="eastAsia"/>
                <w:sz w:val="21"/>
                <w:szCs w:val="21"/>
              </w:rPr>
              <w:t>月</w:t>
            </w:r>
            <w:r>
              <w:rPr>
                <w:rFonts w:ascii="仿宋_GB2312" w:hAnsi="仿宋" w:hint="eastAsia"/>
                <w:sz w:val="21"/>
                <w:szCs w:val="21"/>
              </w:rPr>
              <w:t>24</w:t>
            </w:r>
            <w:r>
              <w:rPr>
                <w:rFonts w:ascii="仿宋_GB2312" w:hAnsi="仿宋" w:hint="eastAsia"/>
                <w:sz w:val="21"/>
                <w:szCs w:val="21"/>
              </w:rPr>
              <w:t>日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>国家矿山安全监察局山东局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滕州市东大矿业有限责任公司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422BE5" w:rsidRDefault="00050EE6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抽查</w:t>
            </w:r>
            <w:r>
              <w:rPr>
                <w:rFonts w:ascii="仿宋_GB2312" w:hint="eastAsia"/>
                <w:sz w:val="24"/>
              </w:rPr>
              <w:t>2022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1-3</w:t>
            </w:r>
            <w:r>
              <w:rPr>
                <w:rFonts w:ascii="仿宋_GB2312" w:hint="eastAsia"/>
                <w:sz w:val="24"/>
              </w:rPr>
              <w:t>日对耿海峰转岗培训档案，档案记录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日下午由王昌</w:t>
            </w:r>
            <w:proofErr w:type="gramStart"/>
            <w:r>
              <w:rPr>
                <w:rFonts w:ascii="仿宋_GB2312" w:hint="eastAsia"/>
                <w:sz w:val="24"/>
              </w:rPr>
              <w:t>阳负责</w:t>
            </w:r>
            <w:proofErr w:type="gramEnd"/>
            <w:r>
              <w:rPr>
                <w:rFonts w:ascii="仿宋_GB2312" w:hint="eastAsia"/>
                <w:sz w:val="24"/>
              </w:rPr>
              <w:t>授课，但查询人员位置监测系统显示王昌阳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>14:48-23:02</w:t>
            </w:r>
            <w:r>
              <w:rPr>
                <w:rFonts w:ascii="仿宋_GB2312" w:hint="eastAsia"/>
                <w:sz w:val="24"/>
              </w:rPr>
              <w:t>在井下工作，煤矿未如实记录安全培训情况，不符合《煤矿安全培训规定》第八条第一款第三项的要求。</w:t>
            </w:r>
          </w:p>
          <w:p w:rsidR="00422BE5" w:rsidRDefault="00422BE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《煤矿安全培训规定》第四十七条第三项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22BE5" w:rsidRDefault="00050EE6">
            <w:pPr>
              <w:adjustRightInd w:val="0"/>
              <w:snapToGrid w:val="0"/>
              <w:spacing w:line="560" w:lineRule="exact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罚款人民币贰万元整</w:t>
            </w:r>
          </w:p>
        </w:tc>
      </w:tr>
    </w:tbl>
    <w:p w:rsidR="00422BE5" w:rsidRDefault="00422BE5">
      <w:pPr>
        <w:spacing w:line="560" w:lineRule="exact"/>
        <w:rPr>
          <w:sz w:val="21"/>
          <w:szCs w:val="21"/>
        </w:rPr>
      </w:pPr>
    </w:p>
    <w:p w:rsidR="00422BE5" w:rsidRDefault="00422BE5">
      <w:pPr>
        <w:spacing w:line="560" w:lineRule="exact"/>
        <w:rPr>
          <w:sz w:val="21"/>
          <w:szCs w:val="21"/>
        </w:rPr>
      </w:pPr>
    </w:p>
    <w:sectPr w:rsidR="00422BE5">
      <w:pgSz w:w="16840" w:h="11907" w:orient="landscape"/>
      <w:pgMar w:top="1588" w:right="2098" w:bottom="1474" w:left="1985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E6" w:rsidRDefault="00050EE6">
      <w:r>
        <w:separator/>
      </w:r>
    </w:p>
  </w:endnote>
  <w:endnote w:type="continuationSeparator" w:id="0">
    <w:p w:rsidR="00050EE6" w:rsidRDefault="0005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E5" w:rsidRDefault="00050EE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A76AD5">
      <w:rPr>
        <w:rStyle w:val="a9"/>
        <w:noProof/>
      </w:rPr>
      <w:t>8</w:t>
    </w:r>
    <w:r>
      <w:fldChar w:fldCharType="end"/>
    </w:r>
  </w:p>
  <w:p w:rsidR="00422BE5" w:rsidRDefault="00422BE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BE5" w:rsidRDefault="00050EE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A76AD5">
      <w:rPr>
        <w:rStyle w:val="a9"/>
        <w:noProof/>
      </w:rPr>
      <w:t>1</w:t>
    </w:r>
    <w:r>
      <w:fldChar w:fldCharType="end"/>
    </w:r>
  </w:p>
  <w:p w:rsidR="00422BE5" w:rsidRDefault="00422BE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E6" w:rsidRDefault="00050EE6">
      <w:r>
        <w:separator/>
      </w:r>
    </w:p>
  </w:footnote>
  <w:footnote w:type="continuationSeparator" w:id="0">
    <w:p w:rsidR="00050EE6" w:rsidRDefault="0005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8A2498"/>
    <w:rsid w:val="000029D9"/>
    <w:rsid w:val="000259FB"/>
    <w:rsid w:val="00050EE6"/>
    <w:rsid w:val="00053A5C"/>
    <w:rsid w:val="00076842"/>
    <w:rsid w:val="00076A1D"/>
    <w:rsid w:val="00082829"/>
    <w:rsid w:val="00095BC3"/>
    <w:rsid w:val="000C5515"/>
    <w:rsid w:val="000D12A9"/>
    <w:rsid w:val="000E6FEC"/>
    <w:rsid w:val="00127BCE"/>
    <w:rsid w:val="00162107"/>
    <w:rsid w:val="00165A1C"/>
    <w:rsid w:val="001A5E43"/>
    <w:rsid w:val="001D73C1"/>
    <w:rsid w:val="001D7569"/>
    <w:rsid w:val="001F50D3"/>
    <w:rsid w:val="0022413E"/>
    <w:rsid w:val="00247000"/>
    <w:rsid w:val="00270695"/>
    <w:rsid w:val="00273DD6"/>
    <w:rsid w:val="00281E39"/>
    <w:rsid w:val="002944AA"/>
    <w:rsid w:val="002A5825"/>
    <w:rsid w:val="002E249A"/>
    <w:rsid w:val="002E2704"/>
    <w:rsid w:val="002E37AC"/>
    <w:rsid w:val="002F45E5"/>
    <w:rsid w:val="00303443"/>
    <w:rsid w:val="00365EEE"/>
    <w:rsid w:val="003954AA"/>
    <w:rsid w:val="003A4EEA"/>
    <w:rsid w:val="003B278C"/>
    <w:rsid w:val="00404AF0"/>
    <w:rsid w:val="004055EB"/>
    <w:rsid w:val="004077BF"/>
    <w:rsid w:val="004219C8"/>
    <w:rsid w:val="00422BE5"/>
    <w:rsid w:val="00423291"/>
    <w:rsid w:val="00434502"/>
    <w:rsid w:val="004419F5"/>
    <w:rsid w:val="00450C8F"/>
    <w:rsid w:val="00471139"/>
    <w:rsid w:val="00486675"/>
    <w:rsid w:val="00486895"/>
    <w:rsid w:val="004A58B8"/>
    <w:rsid w:val="004A6DAE"/>
    <w:rsid w:val="004C3D66"/>
    <w:rsid w:val="004D4C6C"/>
    <w:rsid w:val="004D4FF3"/>
    <w:rsid w:val="004E0C8B"/>
    <w:rsid w:val="00512F50"/>
    <w:rsid w:val="00513665"/>
    <w:rsid w:val="00542188"/>
    <w:rsid w:val="005610B5"/>
    <w:rsid w:val="00567DB4"/>
    <w:rsid w:val="005855C1"/>
    <w:rsid w:val="00593E7C"/>
    <w:rsid w:val="005978AE"/>
    <w:rsid w:val="005A1896"/>
    <w:rsid w:val="005B38A5"/>
    <w:rsid w:val="005C1279"/>
    <w:rsid w:val="005E283A"/>
    <w:rsid w:val="005F66E4"/>
    <w:rsid w:val="00612118"/>
    <w:rsid w:val="00631FB4"/>
    <w:rsid w:val="00642248"/>
    <w:rsid w:val="00653AA7"/>
    <w:rsid w:val="006825BB"/>
    <w:rsid w:val="0069388F"/>
    <w:rsid w:val="006A77E8"/>
    <w:rsid w:val="007043B0"/>
    <w:rsid w:val="00710AE0"/>
    <w:rsid w:val="00717E31"/>
    <w:rsid w:val="00724BB6"/>
    <w:rsid w:val="007760F3"/>
    <w:rsid w:val="007923A7"/>
    <w:rsid w:val="00795E92"/>
    <w:rsid w:val="007A3183"/>
    <w:rsid w:val="007B53A4"/>
    <w:rsid w:val="007D6264"/>
    <w:rsid w:val="007F292C"/>
    <w:rsid w:val="007F5AB7"/>
    <w:rsid w:val="007F769A"/>
    <w:rsid w:val="00830A8A"/>
    <w:rsid w:val="00840573"/>
    <w:rsid w:val="00854275"/>
    <w:rsid w:val="008771B3"/>
    <w:rsid w:val="0088414D"/>
    <w:rsid w:val="00895116"/>
    <w:rsid w:val="008A06C1"/>
    <w:rsid w:val="008A2498"/>
    <w:rsid w:val="008A6E19"/>
    <w:rsid w:val="008C48FA"/>
    <w:rsid w:val="008D3253"/>
    <w:rsid w:val="008E4565"/>
    <w:rsid w:val="008F6A4B"/>
    <w:rsid w:val="00901DE7"/>
    <w:rsid w:val="00910371"/>
    <w:rsid w:val="00916896"/>
    <w:rsid w:val="00917A70"/>
    <w:rsid w:val="00925E8F"/>
    <w:rsid w:val="009316A6"/>
    <w:rsid w:val="009330BB"/>
    <w:rsid w:val="00944F25"/>
    <w:rsid w:val="0096272F"/>
    <w:rsid w:val="009672B1"/>
    <w:rsid w:val="00980BDE"/>
    <w:rsid w:val="00990540"/>
    <w:rsid w:val="0099621E"/>
    <w:rsid w:val="009A5493"/>
    <w:rsid w:val="009C2BBC"/>
    <w:rsid w:val="009D6F8E"/>
    <w:rsid w:val="009F1CE6"/>
    <w:rsid w:val="009F2A5E"/>
    <w:rsid w:val="009F2F7D"/>
    <w:rsid w:val="00A03692"/>
    <w:rsid w:val="00A414C9"/>
    <w:rsid w:val="00A71D96"/>
    <w:rsid w:val="00A76AD5"/>
    <w:rsid w:val="00A907F3"/>
    <w:rsid w:val="00AA7B27"/>
    <w:rsid w:val="00AC59EB"/>
    <w:rsid w:val="00AC61EE"/>
    <w:rsid w:val="00AD3ED6"/>
    <w:rsid w:val="00AD7E47"/>
    <w:rsid w:val="00AE53D6"/>
    <w:rsid w:val="00B32F15"/>
    <w:rsid w:val="00B4516F"/>
    <w:rsid w:val="00B51494"/>
    <w:rsid w:val="00B55361"/>
    <w:rsid w:val="00B5794C"/>
    <w:rsid w:val="00B67C24"/>
    <w:rsid w:val="00BB35E7"/>
    <w:rsid w:val="00BC33FD"/>
    <w:rsid w:val="00BC7206"/>
    <w:rsid w:val="00BD65E9"/>
    <w:rsid w:val="00BE057F"/>
    <w:rsid w:val="00BE7D1E"/>
    <w:rsid w:val="00BF163F"/>
    <w:rsid w:val="00C11148"/>
    <w:rsid w:val="00C24B76"/>
    <w:rsid w:val="00C33378"/>
    <w:rsid w:val="00C40D80"/>
    <w:rsid w:val="00C43E1D"/>
    <w:rsid w:val="00C528CC"/>
    <w:rsid w:val="00C6336B"/>
    <w:rsid w:val="00C6457B"/>
    <w:rsid w:val="00CA733F"/>
    <w:rsid w:val="00CD196B"/>
    <w:rsid w:val="00CD1EA0"/>
    <w:rsid w:val="00CD579B"/>
    <w:rsid w:val="00CE4E99"/>
    <w:rsid w:val="00CE5CBF"/>
    <w:rsid w:val="00D04DF2"/>
    <w:rsid w:val="00D10784"/>
    <w:rsid w:val="00D2537F"/>
    <w:rsid w:val="00D2576A"/>
    <w:rsid w:val="00D27F12"/>
    <w:rsid w:val="00D424CC"/>
    <w:rsid w:val="00D527EC"/>
    <w:rsid w:val="00D5798C"/>
    <w:rsid w:val="00D60B4D"/>
    <w:rsid w:val="00D72D09"/>
    <w:rsid w:val="00D8336F"/>
    <w:rsid w:val="00D8451B"/>
    <w:rsid w:val="00D861D8"/>
    <w:rsid w:val="00D90D30"/>
    <w:rsid w:val="00DB4308"/>
    <w:rsid w:val="00E03BD5"/>
    <w:rsid w:val="00E24CA6"/>
    <w:rsid w:val="00E357DB"/>
    <w:rsid w:val="00E36014"/>
    <w:rsid w:val="00E77376"/>
    <w:rsid w:val="00E854BE"/>
    <w:rsid w:val="00E87AC4"/>
    <w:rsid w:val="00E97C08"/>
    <w:rsid w:val="00EA318D"/>
    <w:rsid w:val="00EB24CC"/>
    <w:rsid w:val="00EB742B"/>
    <w:rsid w:val="00ED3B3F"/>
    <w:rsid w:val="00EE2AE5"/>
    <w:rsid w:val="00EE2DF7"/>
    <w:rsid w:val="00F00360"/>
    <w:rsid w:val="00F032B7"/>
    <w:rsid w:val="00F036F6"/>
    <w:rsid w:val="00F1692D"/>
    <w:rsid w:val="00F31991"/>
    <w:rsid w:val="00F35D22"/>
    <w:rsid w:val="00F36CE7"/>
    <w:rsid w:val="00F46ECB"/>
    <w:rsid w:val="00F525C7"/>
    <w:rsid w:val="00F553A3"/>
    <w:rsid w:val="00F77841"/>
    <w:rsid w:val="00F81771"/>
    <w:rsid w:val="00F819E8"/>
    <w:rsid w:val="00F834DC"/>
    <w:rsid w:val="00F87A27"/>
    <w:rsid w:val="00F91E02"/>
    <w:rsid w:val="00F929B9"/>
    <w:rsid w:val="00FA623D"/>
    <w:rsid w:val="00FB0215"/>
    <w:rsid w:val="00FB5510"/>
    <w:rsid w:val="00FD1629"/>
    <w:rsid w:val="00FD6F20"/>
    <w:rsid w:val="00FE4AEC"/>
    <w:rsid w:val="00FF1C5C"/>
    <w:rsid w:val="01260352"/>
    <w:rsid w:val="01F21968"/>
    <w:rsid w:val="040C3878"/>
    <w:rsid w:val="0C710F12"/>
    <w:rsid w:val="0E6950C2"/>
    <w:rsid w:val="10885C40"/>
    <w:rsid w:val="12317E3D"/>
    <w:rsid w:val="128F6FB5"/>
    <w:rsid w:val="16215E2C"/>
    <w:rsid w:val="18B62079"/>
    <w:rsid w:val="194477DB"/>
    <w:rsid w:val="1D234403"/>
    <w:rsid w:val="1F3A2B07"/>
    <w:rsid w:val="21985D45"/>
    <w:rsid w:val="30A54B43"/>
    <w:rsid w:val="30E425B5"/>
    <w:rsid w:val="310048D1"/>
    <w:rsid w:val="322D230B"/>
    <w:rsid w:val="34A464B7"/>
    <w:rsid w:val="34B114FB"/>
    <w:rsid w:val="37221AC5"/>
    <w:rsid w:val="37D978A3"/>
    <w:rsid w:val="3E865668"/>
    <w:rsid w:val="3ED0451F"/>
    <w:rsid w:val="3F8C5192"/>
    <w:rsid w:val="42A9572A"/>
    <w:rsid w:val="43810713"/>
    <w:rsid w:val="493E2019"/>
    <w:rsid w:val="4AC508BF"/>
    <w:rsid w:val="552E62CB"/>
    <w:rsid w:val="55D52754"/>
    <w:rsid w:val="56C80241"/>
    <w:rsid w:val="58DB5F3F"/>
    <w:rsid w:val="5CED58FC"/>
    <w:rsid w:val="5E5A1A12"/>
    <w:rsid w:val="5E5E1907"/>
    <w:rsid w:val="5F651B7B"/>
    <w:rsid w:val="624361DE"/>
    <w:rsid w:val="66C439B9"/>
    <w:rsid w:val="686C4C8A"/>
    <w:rsid w:val="6B0052D8"/>
    <w:rsid w:val="6D7A2037"/>
    <w:rsid w:val="705776E2"/>
    <w:rsid w:val="73F80398"/>
    <w:rsid w:val="74577539"/>
    <w:rsid w:val="763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65C23-4F3A-479C-980B-06A67983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493</Words>
  <Characters>2815</Characters>
  <Application>Microsoft Office Word</Application>
  <DocSecurity>0</DocSecurity>
  <Lines>23</Lines>
  <Paragraphs>6</Paragraphs>
  <ScaleCrop>false</ScaleCrop>
  <Company>sdmjj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闵峰</dc:creator>
  <cp:lastModifiedBy>qq</cp:lastModifiedBy>
  <cp:revision>11</cp:revision>
  <dcterms:created xsi:type="dcterms:W3CDTF">2022-05-25T07:35:00Z</dcterms:created>
  <dcterms:modified xsi:type="dcterms:W3CDTF">2022-10-31T07:04:00Z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20BAA8F73CA546EBBE7B06527842E39E</vt:lpwstr>
  </property>
</Properties>
</file>