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D7" w:rsidRPr="009B2BF2" w:rsidRDefault="00F034D7" w:rsidP="00F034D7">
      <w:pPr>
        <w:spacing w:line="560" w:lineRule="exact"/>
        <w:jc w:val="left"/>
        <w:rPr>
          <w:rFonts w:ascii="黑体" w:eastAsia="黑体" w:hAnsi="黑体"/>
          <w:szCs w:val="32"/>
        </w:rPr>
      </w:pPr>
      <w:r w:rsidRPr="009B2BF2">
        <w:rPr>
          <w:rFonts w:ascii="黑体" w:eastAsia="黑体" w:hAnsi="黑体" w:hint="eastAsia"/>
          <w:szCs w:val="32"/>
        </w:rPr>
        <w:t>附件</w:t>
      </w:r>
    </w:p>
    <w:p w:rsidR="005743C9" w:rsidRDefault="00027940" w:rsidP="00027940">
      <w:pPr>
        <w:jc w:val="center"/>
        <w:rPr>
          <w:rFonts w:ascii="方正小标宋简体" w:eastAsia="方正小标宋简体"/>
          <w:szCs w:val="32"/>
        </w:rPr>
      </w:pPr>
      <w:bookmarkStart w:id="0" w:name="_GoBack"/>
      <w:r>
        <w:rPr>
          <w:rFonts w:ascii="方正小标宋简体" w:eastAsia="方正小标宋简体" w:hint="eastAsia"/>
          <w:szCs w:val="32"/>
        </w:rPr>
        <w:t>监察</w:t>
      </w:r>
      <w:r w:rsidR="00F034D7">
        <w:rPr>
          <w:rFonts w:ascii="方正小标宋简体" w:eastAsia="方正小标宋简体" w:hint="eastAsia"/>
          <w:szCs w:val="32"/>
        </w:rPr>
        <w:t>执法二处2022年第</w:t>
      </w:r>
      <w:r w:rsidR="00F034D7">
        <w:rPr>
          <w:rFonts w:ascii="方正小标宋简体" w:eastAsia="方正小标宋简体"/>
          <w:szCs w:val="32"/>
        </w:rPr>
        <w:t>16</w:t>
      </w:r>
      <w:r w:rsidR="00F034D7">
        <w:rPr>
          <w:rFonts w:ascii="方正小标宋简体" w:eastAsia="方正小标宋简体" w:hint="eastAsia"/>
          <w:szCs w:val="32"/>
        </w:rPr>
        <w:t>批行政处罚信息公开表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564"/>
        <w:gridCol w:w="1734"/>
        <w:gridCol w:w="1009"/>
        <w:gridCol w:w="5554"/>
        <w:gridCol w:w="1040"/>
        <w:gridCol w:w="1208"/>
      </w:tblGrid>
      <w:tr w:rsidR="00F034D7" w:rsidRPr="00F034D7" w:rsidTr="001058BA">
        <w:tc>
          <w:tcPr>
            <w:tcW w:w="249" w:type="pct"/>
            <w:shd w:val="clear" w:color="auto" w:fill="auto"/>
            <w:vAlign w:val="center"/>
          </w:tcPr>
          <w:bookmarkEnd w:id="0"/>
          <w:p w:rsidR="00F034D7" w:rsidRPr="00F034D7" w:rsidRDefault="00F034D7" w:rsidP="00F034D7">
            <w:pPr>
              <w:spacing w:line="280" w:lineRule="exact"/>
              <w:rPr>
                <w:rFonts w:ascii="仿宋_GB2312" w:hAnsi="宋体"/>
                <w:b/>
                <w:sz w:val="24"/>
                <w:szCs w:val="24"/>
              </w:rPr>
            </w:pPr>
            <w:r w:rsidRPr="00F034D7">
              <w:rPr>
                <w:rFonts w:ascii="仿宋_GB2312" w:hAnsi="宋体" w:hint="eastAsia"/>
                <w:b/>
                <w:sz w:val="24"/>
                <w:szCs w:val="24"/>
              </w:rPr>
              <w:t>序号</w:t>
            </w:r>
          </w:p>
        </w:tc>
        <w:tc>
          <w:tcPr>
            <w:tcW w:w="613" w:type="pct"/>
            <w:shd w:val="clear" w:color="auto" w:fill="auto"/>
            <w:vAlign w:val="center"/>
          </w:tcPr>
          <w:p w:rsidR="00F034D7" w:rsidRPr="00F034D7" w:rsidRDefault="00F034D7" w:rsidP="00F034D7">
            <w:pPr>
              <w:spacing w:line="280" w:lineRule="exact"/>
              <w:rPr>
                <w:rFonts w:ascii="仿宋_GB2312" w:hAnsi="宋体"/>
                <w:b/>
                <w:sz w:val="24"/>
                <w:szCs w:val="24"/>
              </w:rPr>
            </w:pPr>
            <w:r w:rsidRPr="00F034D7">
              <w:rPr>
                <w:rFonts w:ascii="仿宋_GB2312" w:hAnsi="宋体" w:hint="eastAsia"/>
                <w:b/>
                <w:sz w:val="24"/>
                <w:szCs w:val="24"/>
              </w:rPr>
              <w:t>执法决定日期</w:t>
            </w:r>
          </w:p>
        </w:tc>
        <w:tc>
          <w:tcPr>
            <w:tcW w:w="680" w:type="pct"/>
            <w:shd w:val="clear" w:color="auto" w:fill="auto"/>
            <w:vAlign w:val="center"/>
          </w:tcPr>
          <w:p w:rsidR="00F034D7" w:rsidRPr="00F034D7" w:rsidRDefault="00F034D7" w:rsidP="00F034D7">
            <w:pPr>
              <w:spacing w:line="280" w:lineRule="exact"/>
              <w:rPr>
                <w:rFonts w:ascii="仿宋_GB2312" w:hAnsi="宋体"/>
                <w:b/>
                <w:sz w:val="24"/>
                <w:szCs w:val="24"/>
              </w:rPr>
            </w:pPr>
            <w:r w:rsidRPr="00F034D7">
              <w:rPr>
                <w:rFonts w:ascii="仿宋_GB2312" w:hAnsi="宋体" w:hint="eastAsia"/>
                <w:b/>
                <w:sz w:val="24"/>
                <w:szCs w:val="24"/>
              </w:rPr>
              <w:t>执法主体</w:t>
            </w:r>
          </w:p>
        </w:tc>
        <w:tc>
          <w:tcPr>
            <w:tcW w:w="396" w:type="pct"/>
            <w:shd w:val="clear" w:color="auto" w:fill="auto"/>
            <w:vAlign w:val="center"/>
          </w:tcPr>
          <w:p w:rsidR="00F034D7" w:rsidRPr="00F034D7" w:rsidRDefault="00F034D7" w:rsidP="00F034D7">
            <w:pPr>
              <w:spacing w:line="280" w:lineRule="exact"/>
              <w:rPr>
                <w:rFonts w:ascii="仿宋_GB2312" w:hAnsi="宋体"/>
                <w:b/>
                <w:sz w:val="24"/>
                <w:szCs w:val="24"/>
              </w:rPr>
            </w:pPr>
            <w:r w:rsidRPr="00F034D7">
              <w:rPr>
                <w:rFonts w:ascii="仿宋_GB2312" w:hAnsi="宋体" w:hint="eastAsia"/>
                <w:b/>
                <w:sz w:val="24"/>
                <w:szCs w:val="24"/>
              </w:rPr>
              <w:t>执法对象</w:t>
            </w:r>
          </w:p>
        </w:tc>
        <w:tc>
          <w:tcPr>
            <w:tcW w:w="2178" w:type="pct"/>
            <w:shd w:val="clear" w:color="auto" w:fill="auto"/>
            <w:vAlign w:val="center"/>
          </w:tcPr>
          <w:p w:rsidR="00F034D7" w:rsidRPr="00F034D7" w:rsidRDefault="00F034D7" w:rsidP="00F034D7">
            <w:pPr>
              <w:spacing w:line="280" w:lineRule="exact"/>
              <w:jc w:val="center"/>
              <w:rPr>
                <w:rFonts w:ascii="仿宋_GB2312" w:hAnsi="宋体"/>
                <w:b/>
                <w:sz w:val="24"/>
                <w:szCs w:val="24"/>
              </w:rPr>
            </w:pPr>
            <w:r w:rsidRPr="00F034D7">
              <w:rPr>
                <w:rFonts w:ascii="仿宋_GB2312" w:hAnsi="宋体" w:hint="eastAsia"/>
                <w:b/>
                <w:sz w:val="24"/>
                <w:szCs w:val="24"/>
              </w:rPr>
              <w:t>违法事实</w:t>
            </w:r>
          </w:p>
        </w:tc>
        <w:tc>
          <w:tcPr>
            <w:tcW w:w="408" w:type="pct"/>
            <w:shd w:val="clear" w:color="auto" w:fill="auto"/>
            <w:vAlign w:val="center"/>
          </w:tcPr>
          <w:p w:rsidR="00F034D7" w:rsidRPr="00F034D7" w:rsidRDefault="00F034D7" w:rsidP="00F034D7">
            <w:pPr>
              <w:spacing w:line="280" w:lineRule="exact"/>
              <w:rPr>
                <w:rFonts w:ascii="仿宋_GB2312" w:hAnsi="宋体"/>
                <w:b/>
                <w:sz w:val="24"/>
                <w:szCs w:val="24"/>
              </w:rPr>
            </w:pPr>
            <w:r w:rsidRPr="00F034D7">
              <w:rPr>
                <w:rFonts w:ascii="仿宋_GB2312" w:hAnsi="宋体" w:hint="eastAsia"/>
                <w:b/>
                <w:sz w:val="24"/>
                <w:szCs w:val="24"/>
              </w:rPr>
              <w:t>处罚依据</w:t>
            </w:r>
          </w:p>
        </w:tc>
        <w:tc>
          <w:tcPr>
            <w:tcW w:w="474" w:type="pct"/>
            <w:shd w:val="clear" w:color="auto" w:fill="auto"/>
            <w:vAlign w:val="center"/>
          </w:tcPr>
          <w:p w:rsidR="00F034D7" w:rsidRPr="00F034D7" w:rsidRDefault="00F034D7" w:rsidP="00F034D7">
            <w:pPr>
              <w:spacing w:line="280" w:lineRule="exact"/>
              <w:rPr>
                <w:rFonts w:ascii="仿宋_GB2312" w:hAnsi="宋体"/>
                <w:b/>
                <w:sz w:val="24"/>
                <w:szCs w:val="24"/>
              </w:rPr>
            </w:pPr>
            <w:r w:rsidRPr="00F034D7">
              <w:rPr>
                <w:rFonts w:ascii="仿宋_GB2312" w:hAnsi="宋体" w:hint="eastAsia"/>
                <w:b/>
                <w:sz w:val="24"/>
                <w:szCs w:val="24"/>
              </w:rPr>
              <w:t>处罚内 容</w:t>
            </w:r>
          </w:p>
        </w:tc>
      </w:tr>
      <w:tr w:rsidR="00F034D7" w:rsidRPr="00F034D7" w:rsidTr="001058BA">
        <w:tc>
          <w:tcPr>
            <w:tcW w:w="249" w:type="pct"/>
            <w:vMerge w:val="restar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1</w:t>
            </w:r>
          </w:p>
        </w:tc>
        <w:tc>
          <w:tcPr>
            <w:tcW w:w="613" w:type="pct"/>
            <w:vMerge w:val="restar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2022年10月26日</w:t>
            </w:r>
          </w:p>
        </w:tc>
        <w:tc>
          <w:tcPr>
            <w:tcW w:w="680" w:type="pct"/>
            <w:vMerge w:val="restart"/>
            <w:shd w:val="clear" w:color="auto" w:fill="auto"/>
            <w:vAlign w:val="center"/>
          </w:tcPr>
          <w:p w:rsidR="00F034D7" w:rsidRPr="00F034D7" w:rsidRDefault="00F034D7" w:rsidP="00F034D7">
            <w:pPr>
              <w:spacing w:line="280" w:lineRule="exact"/>
              <w:jc w:val="center"/>
              <w:rPr>
                <w:rFonts w:ascii="仿宋_GB2312" w:hAnsi="宋体"/>
                <w:sz w:val="24"/>
                <w:szCs w:val="24"/>
              </w:rPr>
            </w:pPr>
            <w:r w:rsidRPr="00F034D7">
              <w:rPr>
                <w:rFonts w:ascii="仿宋_GB2312" w:hAnsi="宋体" w:hint="eastAsia"/>
                <w:sz w:val="24"/>
                <w:szCs w:val="24"/>
              </w:rPr>
              <w:t>国家矿山安全监察局山东局</w:t>
            </w:r>
          </w:p>
        </w:tc>
        <w:tc>
          <w:tcPr>
            <w:tcW w:w="396" w:type="pct"/>
            <w:vMerge w:val="restart"/>
            <w:shd w:val="clear" w:color="auto" w:fill="auto"/>
            <w:vAlign w:val="center"/>
          </w:tcPr>
          <w:p w:rsidR="00F034D7" w:rsidRPr="00F034D7" w:rsidRDefault="00F034D7" w:rsidP="00F034D7">
            <w:pPr>
              <w:spacing w:line="280" w:lineRule="exact"/>
              <w:jc w:val="center"/>
              <w:rPr>
                <w:rFonts w:ascii="仿宋_GB2312" w:hAnsi="宋体"/>
                <w:sz w:val="24"/>
                <w:szCs w:val="24"/>
              </w:rPr>
            </w:pPr>
            <w:r w:rsidRPr="00F034D7">
              <w:rPr>
                <w:rFonts w:ascii="仿宋_GB2312" w:hAnsi="宋体" w:hint="eastAsia"/>
                <w:sz w:val="24"/>
                <w:szCs w:val="24"/>
              </w:rPr>
              <w:t>山东泰山能源有限责任公司翟镇煤矿</w:t>
            </w: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1.31107综采工作面安装的液压支架有4处液压支架顶梁</w:t>
            </w:r>
            <w:proofErr w:type="gramStart"/>
            <w:r w:rsidRPr="00F034D7">
              <w:rPr>
                <w:rFonts w:ascii="仿宋_GB2312" w:hAnsi="宋体" w:hint="eastAsia"/>
                <w:sz w:val="24"/>
                <w:szCs w:val="24"/>
              </w:rPr>
              <w:t>错茬超过侧护</w:t>
            </w:r>
            <w:proofErr w:type="gramEnd"/>
            <w:r w:rsidRPr="00F034D7">
              <w:rPr>
                <w:rFonts w:ascii="仿宋_GB2312" w:hAnsi="宋体" w:hint="eastAsia"/>
                <w:sz w:val="24"/>
                <w:szCs w:val="24"/>
              </w:rPr>
              <w:t>板厚度的2/3，不符合《31107综采工作面作业规程》中“支架错茬不超过顶梁侧护板厚度的2/3”的规定；2.31107综采工作面有2处端面距达600-700mm且未加强支护，不符合《31107综采工作面作业规程》中“端面距最大值不超过500mm，超过加支贴帮柱”的规定；3.6409W综采工作面第12#液压支架护帮板未打开，未接实煤壁，不符合《翟镇煤矿6409W面作业规程》中“综采液压支架及时打开护帮板，护住煤壁，防止煤壁片帮”的要求；4.6409W综采工作面轨道巷C4导线点以外3m范围内两帮移进量较大，</w:t>
            </w:r>
            <w:proofErr w:type="gramStart"/>
            <w:r w:rsidRPr="00F034D7">
              <w:rPr>
                <w:rFonts w:ascii="仿宋_GB2312" w:hAnsi="宋体" w:hint="eastAsia"/>
                <w:sz w:val="24"/>
                <w:szCs w:val="24"/>
              </w:rPr>
              <w:t>其中左帮移进</w:t>
            </w:r>
            <w:proofErr w:type="gramEnd"/>
            <w:r w:rsidRPr="00F034D7">
              <w:rPr>
                <w:rFonts w:ascii="仿宋_GB2312" w:hAnsi="宋体" w:hint="eastAsia"/>
                <w:sz w:val="24"/>
                <w:szCs w:val="24"/>
              </w:rPr>
              <w:t>量0.35m，</w:t>
            </w:r>
            <w:proofErr w:type="gramStart"/>
            <w:r w:rsidRPr="00F034D7">
              <w:rPr>
                <w:rFonts w:ascii="仿宋_GB2312" w:hAnsi="宋体" w:hint="eastAsia"/>
                <w:sz w:val="24"/>
                <w:szCs w:val="24"/>
              </w:rPr>
              <w:t>右帮移进</w:t>
            </w:r>
            <w:proofErr w:type="gramEnd"/>
            <w:r w:rsidRPr="00F034D7">
              <w:rPr>
                <w:rFonts w:ascii="仿宋_GB2312" w:hAnsi="宋体" w:hint="eastAsia"/>
                <w:sz w:val="24"/>
                <w:szCs w:val="24"/>
              </w:rPr>
              <w:t>量0.55m，不符合《翟镇煤矿6409W面作业规程》中“巷道两帮移进量超过0.3 m，需进行巷道维护”的规定。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《山东省安全生产条例》第七十六条第一款</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罚款人民币十万元整</w:t>
            </w:r>
          </w:p>
        </w:tc>
      </w:tr>
      <w:tr w:rsidR="00F034D7" w:rsidRPr="00F034D7" w:rsidTr="001058BA">
        <w:tc>
          <w:tcPr>
            <w:tcW w:w="249"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13"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80"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396"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5.查询矿井9月20日矿井通风报表、安全监控报表，矿井西翼后组回风巷测风站平均风速为5.37m/s，安装在此处的风速传感器显示平均风速为6.29m/s误差大，未及时采用标定的风速计对风速传感器标校，不符合《煤矿安全监控系统及检测仪器使用管理规范》（AQ1029-2019）8.3.4规定；6.现场测试，6409W综采工作面轨道巷超前支护第17#单体液压支柱工作阻力为30Mpa，安全阀未开启，不符合《翟镇煤矿6409W面作业规程》中“当单体液压支</w:t>
            </w:r>
            <w:r w:rsidRPr="00F034D7">
              <w:rPr>
                <w:rFonts w:ascii="仿宋_GB2312" w:hAnsi="宋体" w:hint="eastAsia"/>
                <w:sz w:val="24"/>
                <w:szCs w:val="24"/>
              </w:rPr>
              <w:lastRenderedPageBreak/>
              <w:t xml:space="preserve">柱工作阻力达到25.4 </w:t>
            </w:r>
            <w:proofErr w:type="spellStart"/>
            <w:r w:rsidRPr="00F034D7">
              <w:rPr>
                <w:rFonts w:ascii="仿宋_GB2312" w:hAnsi="宋体" w:hint="eastAsia"/>
                <w:sz w:val="24"/>
                <w:szCs w:val="24"/>
              </w:rPr>
              <w:t>Mpa</w:t>
            </w:r>
            <w:proofErr w:type="spellEnd"/>
            <w:r w:rsidRPr="00F034D7">
              <w:rPr>
                <w:rFonts w:ascii="仿宋_GB2312" w:hAnsi="宋体" w:hint="eastAsia"/>
                <w:sz w:val="24"/>
                <w:szCs w:val="24"/>
              </w:rPr>
              <w:t>，安全阀自动开启”的规定；7.6403W运输巷掘进工作面一台接线盒局部接地线使用镀锌钢绞线，不符合《煤矿安全规程》第四百七十九条第二款的规定。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lastRenderedPageBreak/>
              <w:t>《中华人民共和国安全生产法》第九十九条第三项</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罚款人民币五万元整</w:t>
            </w:r>
          </w:p>
        </w:tc>
      </w:tr>
      <w:tr w:rsidR="00F034D7" w:rsidRPr="00F034D7" w:rsidTr="001058BA">
        <w:tc>
          <w:tcPr>
            <w:tcW w:w="249"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13"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80"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396"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8.测试11503E运输巷第一部带式输送机机头位置</w:t>
            </w:r>
            <w:proofErr w:type="gramStart"/>
            <w:r w:rsidRPr="00F034D7">
              <w:rPr>
                <w:rFonts w:ascii="仿宋_GB2312" w:hAnsi="宋体" w:hint="eastAsia"/>
                <w:sz w:val="24"/>
                <w:szCs w:val="24"/>
              </w:rPr>
              <w:t>行人侧防跑偏</w:t>
            </w:r>
            <w:proofErr w:type="gramEnd"/>
            <w:r w:rsidRPr="00F034D7">
              <w:rPr>
                <w:rFonts w:ascii="仿宋_GB2312" w:hAnsi="宋体" w:hint="eastAsia"/>
                <w:sz w:val="24"/>
                <w:szCs w:val="24"/>
              </w:rPr>
              <w:t>导杆超过20°时不能发出报警并停机（非行人侧正常），不符合《GB 51145-2015 煤矿电气设备安装工程施工与验收规范》第15.3.2第2项的规定；9.11503E运输巷第三部滚筒驱动带式输送机机头配电点使用的1140V变频器没有保护接地，不符合《煤矿安全规程》第四百七十五条的规定。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《中华人民共和国安全生产法》第九十九条第二项</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罚款人民币五万元整</w:t>
            </w:r>
          </w:p>
        </w:tc>
      </w:tr>
      <w:tr w:rsidR="00F034D7" w:rsidRPr="00F034D7" w:rsidTr="001058BA">
        <w:tc>
          <w:tcPr>
            <w:tcW w:w="249"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13"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80"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396"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10.矿井未对采掘工作面受断层影响情况进行评估分级，不符合《翟镇煤矿采掘工作面遇断层等构造带分级管控体系》“采掘工作面受断层影响情况进行评估分级”的规定；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《中华人民共和国安全生产法》第一百零一条第四项</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罚款人民币三万元整</w:t>
            </w:r>
          </w:p>
        </w:tc>
      </w:tr>
      <w:tr w:rsidR="00F034D7" w:rsidRPr="00F034D7" w:rsidTr="001058BA">
        <w:tc>
          <w:tcPr>
            <w:tcW w:w="249"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13"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80"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396"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11.矿井水文地质条件2022年8月2日重新确定为复杂后，设计的潜水泵排水系统尚未安装完成，不符合《煤矿安全规程》第三百零八条第一款的规定；12.15层轨道下山11503E轨道巷密闭漏风，未及时对密闭进行维修，未保证</w:t>
            </w:r>
            <w:proofErr w:type="gramStart"/>
            <w:r w:rsidRPr="00F034D7">
              <w:rPr>
                <w:rFonts w:ascii="仿宋_GB2312" w:hAnsi="宋体" w:hint="eastAsia"/>
                <w:sz w:val="24"/>
                <w:szCs w:val="24"/>
              </w:rPr>
              <w:t>封闭区</w:t>
            </w:r>
            <w:proofErr w:type="gramEnd"/>
            <w:r w:rsidRPr="00F034D7">
              <w:rPr>
                <w:rFonts w:ascii="仿宋_GB2312" w:hAnsi="宋体" w:hint="eastAsia"/>
                <w:sz w:val="24"/>
                <w:szCs w:val="24"/>
              </w:rPr>
              <w:t>良好的密闭状态，不符合《翟镇煤矿密闭管理规定》中“密闭完好不漏风”的规定；13.6409W采煤工作采煤机左侧截割部离合打开后未固定，不符合《翟镇煤矿6409W面作业规程》中“抽出把手固定好”的规定，矿井未及时发现并消除事故隐患。</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《中华人民共和国安全生产法》第一百零二条</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罚款人民币五万元整</w:t>
            </w:r>
          </w:p>
        </w:tc>
      </w:tr>
      <w:tr w:rsidR="00F034D7" w:rsidRPr="00F034D7" w:rsidTr="001058BA">
        <w:tc>
          <w:tcPr>
            <w:tcW w:w="249" w:type="pct"/>
            <w:vMerge w:val="restar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2</w:t>
            </w:r>
          </w:p>
        </w:tc>
        <w:tc>
          <w:tcPr>
            <w:tcW w:w="613" w:type="pct"/>
            <w:vMerge w:val="restar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2022年10月</w:t>
            </w:r>
            <w:r w:rsidRPr="00F034D7">
              <w:rPr>
                <w:rFonts w:ascii="仿宋_GB2312" w:hAnsi="宋体" w:hint="eastAsia"/>
                <w:sz w:val="24"/>
                <w:szCs w:val="24"/>
              </w:rPr>
              <w:lastRenderedPageBreak/>
              <w:t>26日</w:t>
            </w:r>
          </w:p>
        </w:tc>
        <w:tc>
          <w:tcPr>
            <w:tcW w:w="680" w:type="pct"/>
            <w:vMerge w:val="restart"/>
            <w:shd w:val="clear" w:color="auto" w:fill="auto"/>
            <w:vAlign w:val="center"/>
          </w:tcPr>
          <w:p w:rsidR="00F034D7" w:rsidRPr="00F034D7" w:rsidRDefault="00F034D7" w:rsidP="00F034D7">
            <w:pPr>
              <w:spacing w:line="280" w:lineRule="exact"/>
              <w:jc w:val="center"/>
              <w:rPr>
                <w:rFonts w:ascii="仿宋_GB2312" w:hAnsi="宋体"/>
                <w:sz w:val="24"/>
                <w:szCs w:val="24"/>
              </w:rPr>
            </w:pPr>
            <w:r w:rsidRPr="00F034D7">
              <w:rPr>
                <w:rFonts w:ascii="仿宋_GB2312" w:hAnsi="宋体" w:hint="eastAsia"/>
                <w:sz w:val="24"/>
                <w:szCs w:val="24"/>
              </w:rPr>
              <w:lastRenderedPageBreak/>
              <w:t>国家矿山安全</w:t>
            </w:r>
            <w:r w:rsidRPr="00F034D7">
              <w:rPr>
                <w:rFonts w:ascii="仿宋_GB2312" w:hAnsi="宋体" w:hint="eastAsia"/>
                <w:sz w:val="24"/>
                <w:szCs w:val="24"/>
              </w:rPr>
              <w:lastRenderedPageBreak/>
              <w:t>监察局山东局</w:t>
            </w:r>
          </w:p>
        </w:tc>
        <w:tc>
          <w:tcPr>
            <w:tcW w:w="396" w:type="pct"/>
            <w:vMerge w:val="restar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lastRenderedPageBreak/>
              <w:t>山东金</w:t>
            </w:r>
            <w:r w:rsidRPr="00F034D7">
              <w:rPr>
                <w:rFonts w:ascii="仿宋_GB2312" w:hAnsi="宋体" w:hint="eastAsia"/>
                <w:sz w:val="24"/>
                <w:szCs w:val="24"/>
              </w:rPr>
              <w:lastRenderedPageBreak/>
              <w:t>阳矿业集团有限公司金阳煤矿</w:t>
            </w: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lastRenderedPageBreak/>
              <w:t>1.现场使用浓度为2%的甲烷气样对3313采煤工作</w:t>
            </w:r>
            <w:r w:rsidRPr="00F034D7">
              <w:rPr>
                <w:rFonts w:ascii="仿宋_GB2312" w:hAnsi="宋体" w:hint="eastAsia"/>
                <w:sz w:val="24"/>
                <w:szCs w:val="24"/>
              </w:rPr>
              <w:lastRenderedPageBreak/>
              <w:t>面回风隅角甲烷传感器进行功能试验时，传感器甲烷浓度读数为4%，传感器故障未及时处理，不符合《煤矿安全监控系统及检测仪器使用管理规范》（AQ1029—2019）第8.4.6的规定；2.矿井在用的4台便携式甲烷检测报警仪（编号：2100506、2100514、2100519、2100513）检验有效期至2022年6月11日，过期未按要求定期进行检定，不符合《煤矿安全规程》第一百四十一条的规定；3.查询安全监控系统发现，10月4日-350东翼回风大巷测风站风速传感器测量值为4.61m/s,测风报表中该地点风速值为3.55m/s，矿未及时采用标定的风速计对风速传感器标校，不符合《煤矿安全监控系统及检测仪器使用管理规范》（AQ1029-2019）8.3.4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lastRenderedPageBreak/>
              <w:t>《中华</w:t>
            </w:r>
            <w:r w:rsidRPr="00F034D7">
              <w:rPr>
                <w:rFonts w:ascii="仿宋_GB2312" w:hAnsi="宋体" w:hint="eastAsia"/>
                <w:sz w:val="24"/>
                <w:szCs w:val="24"/>
              </w:rPr>
              <w:lastRenderedPageBreak/>
              <w:t>人民共和国安全生产法》第九十九条第三项</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lastRenderedPageBreak/>
              <w:t>罚款人民</w:t>
            </w:r>
            <w:r w:rsidRPr="00F034D7">
              <w:rPr>
                <w:rFonts w:ascii="仿宋_GB2312" w:hAnsi="宋体" w:hint="eastAsia"/>
                <w:sz w:val="24"/>
                <w:szCs w:val="24"/>
              </w:rPr>
              <w:lastRenderedPageBreak/>
              <w:t>币五万元整</w:t>
            </w:r>
          </w:p>
        </w:tc>
      </w:tr>
      <w:tr w:rsidR="00F034D7" w:rsidRPr="00F034D7" w:rsidTr="001058BA">
        <w:tc>
          <w:tcPr>
            <w:tcW w:w="249"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13"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80" w:type="pct"/>
            <w:vMerge/>
            <w:shd w:val="clear" w:color="auto" w:fill="auto"/>
            <w:vAlign w:val="center"/>
          </w:tcPr>
          <w:p w:rsidR="00F034D7" w:rsidRPr="00F034D7" w:rsidRDefault="00F034D7" w:rsidP="00F034D7">
            <w:pPr>
              <w:spacing w:line="280" w:lineRule="exact"/>
              <w:jc w:val="center"/>
              <w:rPr>
                <w:rFonts w:ascii="仿宋_GB2312" w:hAnsi="宋体"/>
                <w:sz w:val="24"/>
                <w:szCs w:val="24"/>
              </w:rPr>
            </w:pPr>
          </w:p>
        </w:tc>
        <w:tc>
          <w:tcPr>
            <w:tcW w:w="396"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 xml:space="preserve"> 4.轨道暗斜井上部车场联络巷风门处未设有当列车通过时能够发出在风门两侧都能接收到声光信号的装置，不符合《煤矿安全规程》第三百七十七条第三项的规定；5.现场使用浓度为2%的甲烷气样对3313采煤工作面回风甲烷传感器进行功能试验时，监控系统未与人员位置监测系统、应急广播系统应急联动，不符合《煤矿安全监控系统及检测仪器使用管理规范》（AQ1029-2019)第4.10的规定；6.3404运输巷安装有4台电气设备（ZK-3馈电开关、Z-17磁力启动器、7#照明综保、21#照明综保）的低压配电点未装设局部接地极，不符合《煤矿安全规程》第四百七十八条第一款第三项的规定；7.3404安装工作面1台Z-98磁力启动器接地线使用镀锌钢绞线，不符合《煤矿安全规程》第四百七十九条第二款的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《中华人民共和国安全生产法》第九十九条第二项</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罚款人民币五万元整</w:t>
            </w:r>
          </w:p>
        </w:tc>
      </w:tr>
      <w:tr w:rsidR="00F034D7" w:rsidRPr="00F034D7" w:rsidTr="001058BA">
        <w:tc>
          <w:tcPr>
            <w:tcW w:w="249"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13"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80" w:type="pct"/>
            <w:vMerge/>
            <w:shd w:val="clear" w:color="auto" w:fill="auto"/>
            <w:vAlign w:val="center"/>
          </w:tcPr>
          <w:p w:rsidR="00F034D7" w:rsidRPr="00F034D7" w:rsidRDefault="00F034D7" w:rsidP="00F034D7">
            <w:pPr>
              <w:spacing w:line="280" w:lineRule="exact"/>
              <w:jc w:val="center"/>
              <w:rPr>
                <w:rFonts w:ascii="仿宋_GB2312" w:hAnsi="宋体"/>
                <w:sz w:val="24"/>
                <w:szCs w:val="24"/>
              </w:rPr>
            </w:pPr>
          </w:p>
        </w:tc>
        <w:tc>
          <w:tcPr>
            <w:tcW w:w="396"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8.3315运输联络巷掘进工作面穿过SBF16（H=8m），形成的岩</w:t>
            </w:r>
            <w:proofErr w:type="gramStart"/>
            <w:r w:rsidRPr="00F034D7">
              <w:rPr>
                <w:rFonts w:ascii="仿宋_GB2312" w:hAnsi="宋体" w:hint="eastAsia"/>
                <w:sz w:val="24"/>
                <w:szCs w:val="24"/>
              </w:rPr>
              <w:t>柱处于</w:t>
            </w:r>
            <w:proofErr w:type="gramEnd"/>
            <w:r w:rsidRPr="00F034D7">
              <w:rPr>
                <w:rFonts w:ascii="仿宋_GB2312" w:hAnsi="宋体" w:hint="eastAsia"/>
                <w:sz w:val="24"/>
                <w:szCs w:val="24"/>
              </w:rPr>
              <w:t>断层破碎带内，存在发生冒顶伤人的风险，煤矿未制定有效的管控措施，不符合《中华</w:t>
            </w:r>
            <w:r w:rsidRPr="00F034D7">
              <w:rPr>
                <w:rFonts w:ascii="仿宋_GB2312" w:hAnsi="宋体" w:hint="eastAsia"/>
                <w:sz w:val="24"/>
                <w:szCs w:val="24"/>
              </w:rPr>
              <w:lastRenderedPageBreak/>
              <w:t>人民共和国安全生产法》第四十一条第一款的规定。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lastRenderedPageBreak/>
              <w:t>《中华人民共和国安</w:t>
            </w:r>
            <w:r w:rsidRPr="00F034D7">
              <w:rPr>
                <w:rFonts w:ascii="仿宋_GB2312" w:hAnsi="宋体" w:hint="eastAsia"/>
                <w:sz w:val="24"/>
                <w:szCs w:val="24"/>
              </w:rPr>
              <w:lastRenderedPageBreak/>
              <w:t>全生产法》第一百零一条第四项</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lastRenderedPageBreak/>
              <w:t>罚款人民币五万元整</w:t>
            </w:r>
          </w:p>
        </w:tc>
      </w:tr>
      <w:tr w:rsidR="00F034D7" w:rsidRPr="00F034D7" w:rsidTr="001058BA">
        <w:tc>
          <w:tcPr>
            <w:tcW w:w="249"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13"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680" w:type="pct"/>
            <w:vMerge/>
            <w:shd w:val="clear" w:color="auto" w:fill="auto"/>
            <w:vAlign w:val="center"/>
          </w:tcPr>
          <w:p w:rsidR="00F034D7" w:rsidRPr="00F034D7" w:rsidRDefault="00F034D7" w:rsidP="00F034D7">
            <w:pPr>
              <w:spacing w:line="280" w:lineRule="exact"/>
              <w:jc w:val="center"/>
              <w:rPr>
                <w:rFonts w:ascii="仿宋_GB2312" w:hAnsi="宋体"/>
                <w:sz w:val="24"/>
                <w:szCs w:val="24"/>
              </w:rPr>
            </w:pPr>
          </w:p>
        </w:tc>
        <w:tc>
          <w:tcPr>
            <w:tcW w:w="396" w:type="pct"/>
            <w:vMerge/>
            <w:shd w:val="clear" w:color="auto" w:fill="auto"/>
            <w:vAlign w:val="center"/>
          </w:tcPr>
          <w:p w:rsidR="00F034D7" w:rsidRPr="00F034D7" w:rsidRDefault="00F034D7" w:rsidP="00F034D7">
            <w:pPr>
              <w:spacing w:line="280" w:lineRule="exact"/>
              <w:rPr>
                <w:rFonts w:ascii="仿宋_GB2312" w:hAnsi="宋体"/>
                <w:sz w:val="24"/>
                <w:szCs w:val="24"/>
              </w:rPr>
            </w:pP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9.3313采煤工作面2#、3#及21#支架立柱压力表读数不足分别为21MPa、21MPa、0MPa,不符合《3313综采工作面作业规程》中“液压支架初撑力不得小于24MPa”的规定。</w:t>
            </w:r>
          </w:p>
        </w:tc>
        <w:tc>
          <w:tcPr>
            <w:tcW w:w="40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《山东省安全生产条例》第七十六条第一款</w:t>
            </w:r>
          </w:p>
        </w:tc>
        <w:tc>
          <w:tcPr>
            <w:tcW w:w="474"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罚款人民币五万元整</w:t>
            </w:r>
          </w:p>
        </w:tc>
      </w:tr>
      <w:tr w:rsidR="00F034D7" w:rsidRPr="00F034D7" w:rsidTr="001058BA">
        <w:tc>
          <w:tcPr>
            <w:tcW w:w="426" w:type="dxa"/>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3</w:t>
            </w:r>
          </w:p>
        </w:tc>
        <w:tc>
          <w:tcPr>
            <w:tcW w:w="1045" w:type="dxa"/>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2022年10月26日</w:t>
            </w:r>
          </w:p>
        </w:tc>
        <w:tc>
          <w:tcPr>
            <w:tcW w:w="1159" w:type="dxa"/>
            <w:shd w:val="clear" w:color="auto" w:fill="auto"/>
            <w:vAlign w:val="center"/>
          </w:tcPr>
          <w:p w:rsidR="00F034D7" w:rsidRPr="00F034D7" w:rsidRDefault="00F034D7" w:rsidP="00F034D7">
            <w:pPr>
              <w:spacing w:line="280" w:lineRule="exact"/>
              <w:jc w:val="center"/>
              <w:rPr>
                <w:rFonts w:ascii="仿宋_GB2312" w:hAnsi="宋体"/>
                <w:sz w:val="24"/>
                <w:szCs w:val="24"/>
              </w:rPr>
            </w:pPr>
            <w:r w:rsidRPr="00F034D7">
              <w:rPr>
                <w:rFonts w:ascii="仿宋_GB2312" w:hAnsi="宋体" w:hint="eastAsia"/>
                <w:sz w:val="24"/>
                <w:szCs w:val="24"/>
              </w:rPr>
              <w:t>国家矿山安全监察局山东局</w:t>
            </w:r>
          </w:p>
        </w:tc>
        <w:tc>
          <w:tcPr>
            <w:tcW w:w="396"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 xml:space="preserve">新泰市羊泉矿业有限公司 </w:t>
            </w:r>
          </w:p>
        </w:tc>
        <w:tc>
          <w:tcPr>
            <w:tcW w:w="2178" w:type="pct"/>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安全监控系统的多曲线对比界面存在曲线重合、模拟量曲线与坐标横轴重合、不同曲线</w:t>
            </w:r>
            <w:proofErr w:type="gramStart"/>
            <w:r w:rsidRPr="00F034D7">
              <w:rPr>
                <w:rFonts w:ascii="仿宋_GB2312" w:hAnsi="宋体" w:hint="eastAsia"/>
                <w:sz w:val="24"/>
                <w:szCs w:val="24"/>
              </w:rPr>
              <w:t>时间轴不对应</w:t>
            </w:r>
            <w:proofErr w:type="gramEnd"/>
            <w:r w:rsidRPr="00F034D7">
              <w:rPr>
                <w:rFonts w:ascii="仿宋_GB2312" w:hAnsi="宋体" w:hint="eastAsia"/>
                <w:sz w:val="24"/>
                <w:szCs w:val="24"/>
              </w:rPr>
              <w:t>等问题，造成异常数据分析功能不完善，不符合《煤矿安全监控系统及检测仪器使用管理规范》（AQ1029-2019）第4.9的规定</w:t>
            </w:r>
          </w:p>
        </w:tc>
        <w:tc>
          <w:tcPr>
            <w:tcW w:w="696" w:type="dxa"/>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《中华人民共和国安全生产法》第九十九条第三项</w:t>
            </w:r>
          </w:p>
        </w:tc>
        <w:tc>
          <w:tcPr>
            <w:tcW w:w="808" w:type="dxa"/>
            <w:shd w:val="clear" w:color="auto" w:fill="auto"/>
            <w:vAlign w:val="center"/>
          </w:tcPr>
          <w:p w:rsidR="00F034D7" w:rsidRPr="00F034D7" w:rsidRDefault="00F034D7" w:rsidP="00F034D7">
            <w:pPr>
              <w:spacing w:line="280" w:lineRule="exact"/>
              <w:rPr>
                <w:rFonts w:ascii="仿宋_GB2312" w:hAnsi="宋体"/>
                <w:sz w:val="24"/>
                <w:szCs w:val="24"/>
              </w:rPr>
            </w:pPr>
            <w:r w:rsidRPr="00F034D7">
              <w:rPr>
                <w:rFonts w:ascii="仿宋_GB2312" w:hAnsi="宋体" w:hint="eastAsia"/>
                <w:sz w:val="24"/>
                <w:szCs w:val="24"/>
              </w:rPr>
              <w:t>罚款人民币二万元整</w:t>
            </w:r>
          </w:p>
        </w:tc>
      </w:tr>
    </w:tbl>
    <w:p w:rsidR="00F034D7" w:rsidRDefault="00F034D7" w:rsidP="00F034D7"/>
    <w:sectPr w:rsidR="00F034D7" w:rsidSect="00CB322F">
      <w:pgSz w:w="16838" w:h="11906" w:orient="landscape"/>
      <w:pgMar w:top="1588" w:right="2098" w:bottom="1474" w:left="1985"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D7"/>
    <w:rsid w:val="00000958"/>
    <w:rsid w:val="000038CB"/>
    <w:rsid w:val="0002011E"/>
    <w:rsid w:val="00023B1E"/>
    <w:rsid w:val="0002759F"/>
    <w:rsid w:val="00027940"/>
    <w:rsid w:val="00030B52"/>
    <w:rsid w:val="00032F9B"/>
    <w:rsid w:val="00040897"/>
    <w:rsid w:val="00040CAD"/>
    <w:rsid w:val="00044DFB"/>
    <w:rsid w:val="00044FDD"/>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664"/>
    <w:rsid w:val="000B0B64"/>
    <w:rsid w:val="000B3183"/>
    <w:rsid w:val="000B51F4"/>
    <w:rsid w:val="000B5B01"/>
    <w:rsid w:val="000B65F4"/>
    <w:rsid w:val="000C0D7C"/>
    <w:rsid w:val="000C1B32"/>
    <w:rsid w:val="000C31D9"/>
    <w:rsid w:val="000D1E0B"/>
    <w:rsid w:val="000D34D5"/>
    <w:rsid w:val="000D70CA"/>
    <w:rsid w:val="000E6982"/>
    <w:rsid w:val="000F19FC"/>
    <w:rsid w:val="000F3585"/>
    <w:rsid w:val="000F4246"/>
    <w:rsid w:val="000F464E"/>
    <w:rsid w:val="001118E9"/>
    <w:rsid w:val="00112A0C"/>
    <w:rsid w:val="00114F83"/>
    <w:rsid w:val="0012396A"/>
    <w:rsid w:val="00126D63"/>
    <w:rsid w:val="00132656"/>
    <w:rsid w:val="00132D2E"/>
    <w:rsid w:val="001345DF"/>
    <w:rsid w:val="00134E50"/>
    <w:rsid w:val="001442EF"/>
    <w:rsid w:val="0014512A"/>
    <w:rsid w:val="00146127"/>
    <w:rsid w:val="001518D6"/>
    <w:rsid w:val="00151DC2"/>
    <w:rsid w:val="001659F1"/>
    <w:rsid w:val="001667D7"/>
    <w:rsid w:val="00171BBC"/>
    <w:rsid w:val="00172043"/>
    <w:rsid w:val="00184E84"/>
    <w:rsid w:val="00187475"/>
    <w:rsid w:val="00191379"/>
    <w:rsid w:val="00194C5E"/>
    <w:rsid w:val="00196A40"/>
    <w:rsid w:val="001A03F8"/>
    <w:rsid w:val="001A2E2B"/>
    <w:rsid w:val="001A3143"/>
    <w:rsid w:val="001B356E"/>
    <w:rsid w:val="001B7AE6"/>
    <w:rsid w:val="001C202F"/>
    <w:rsid w:val="001C3848"/>
    <w:rsid w:val="001C3D43"/>
    <w:rsid w:val="001C4C0B"/>
    <w:rsid w:val="001D069E"/>
    <w:rsid w:val="001D2511"/>
    <w:rsid w:val="001D2AA3"/>
    <w:rsid w:val="001D6D67"/>
    <w:rsid w:val="001D789E"/>
    <w:rsid w:val="001E4513"/>
    <w:rsid w:val="001E6A87"/>
    <w:rsid w:val="001E79F9"/>
    <w:rsid w:val="001F28E2"/>
    <w:rsid w:val="001F384F"/>
    <w:rsid w:val="00205080"/>
    <w:rsid w:val="00214D20"/>
    <w:rsid w:val="00215A8B"/>
    <w:rsid w:val="00223286"/>
    <w:rsid w:val="00224EB5"/>
    <w:rsid w:val="00234F8D"/>
    <w:rsid w:val="00236835"/>
    <w:rsid w:val="00236E5A"/>
    <w:rsid w:val="002427AE"/>
    <w:rsid w:val="002462D5"/>
    <w:rsid w:val="00247EE4"/>
    <w:rsid w:val="00250183"/>
    <w:rsid w:val="00252103"/>
    <w:rsid w:val="002608A8"/>
    <w:rsid w:val="0026212F"/>
    <w:rsid w:val="00263B0C"/>
    <w:rsid w:val="00265CCC"/>
    <w:rsid w:val="00270892"/>
    <w:rsid w:val="00275D41"/>
    <w:rsid w:val="00276580"/>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307B16"/>
    <w:rsid w:val="00324CAA"/>
    <w:rsid w:val="00325E3D"/>
    <w:rsid w:val="00326DE2"/>
    <w:rsid w:val="00333CE1"/>
    <w:rsid w:val="00334A7B"/>
    <w:rsid w:val="00336645"/>
    <w:rsid w:val="00346157"/>
    <w:rsid w:val="00351296"/>
    <w:rsid w:val="00351335"/>
    <w:rsid w:val="00364184"/>
    <w:rsid w:val="0036757A"/>
    <w:rsid w:val="003677AC"/>
    <w:rsid w:val="0037258F"/>
    <w:rsid w:val="0037650D"/>
    <w:rsid w:val="003803DE"/>
    <w:rsid w:val="003832CF"/>
    <w:rsid w:val="00387981"/>
    <w:rsid w:val="003914B1"/>
    <w:rsid w:val="00396DD5"/>
    <w:rsid w:val="003A149B"/>
    <w:rsid w:val="003B0C97"/>
    <w:rsid w:val="003B1C32"/>
    <w:rsid w:val="003B3C1E"/>
    <w:rsid w:val="003B6487"/>
    <w:rsid w:val="003C0FE5"/>
    <w:rsid w:val="003C214A"/>
    <w:rsid w:val="003C69DA"/>
    <w:rsid w:val="003D26D5"/>
    <w:rsid w:val="003D56D4"/>
    <w:rsid w:val="003E0A63"/>
    <w:rsid w:val="003E5F2B"/>
    <w:rsid w:val="003F2D84"/>
    <w:rsid w:val="003F7878"/>
    <w:rsid w:val="00404B4D"/>
    <w:rsid w:val="00405BB0"/>
    <w:rsid w:val="00405C26"/>
    <w:rsid w:val="004079A0"/>
    <w:rsid w:val="00407B8B"/>
    <w:rsid w:val="00414589"/>
    <w:rsid w:val="0042077D"/>
    <w:rsid w:val="00441584"/>
    <w:rsid w:val="00443351"/>
    <w:rsid w:val="0044589E"/>
    <w:rsid w:val="004458B9"/>
    <w:rsid w:val="00451DA6"/>
    <w:rsid w:val="00455EF7"/>
    <w:rsid w:val="00460A05"/>
    <w:rsid w:val="00465548"/>
    <w:rsid w:val="00470804"/>
    <w:rsid w:val="004732D0"/>
    <w:rsid w:val="0047785D"/>
    <w:rsid w:val="00477C80"/>
    <w:rsid w:val="004803AF"/>
    <w:rsid w:val="0048165C"/>
    <w:rsid w:val="00482DF9"/>
    <w:rsid w:val="00485850"/>
    <w:rsid w:val="00490286"/>
    <w:rsid w:val="00493D19"/>
    <w:rsid w:val="00497049"/>
    <w:rsid w:val="004A13D8"/>
    <w:rsid w:val="004A291C"/>
    <w:rsid w:val="004A4E78"/>
    <w:rsid w:val="004A6514"/>
    <w:rsid w:val="004A747B"/>
    <w:rsid w:val="004B35F6"/>
    <w:rsid w:val="004B4302"/>
    <w:rsid w:val="004B7D3B"/>
    <w:rsid w:val="004C234F"/>
    <w:rsid w:val="004C3ECA"/>
    <w:rsid w:val="004C5300"/>
    <w:rsid w:val="004D6C8A"/>
    <w:rsid w:val="004E4A66"/>
    <w:rsid w:val="004E5115"/>
    <w:rsid w:val="0050222E"/>
    <w:rsid w:val="00504F76"/>
    <w:rsid w:val="005063B2"/>
    <w:rsid w:val="0050685F"/>
    <w:rsid w:val="0051098B"/>
    <w:rsid w:val="0051352D"/>
    <w:rsid w:val="00523C5D"/>
    <w:rsid w:val="0053063F"/>
    <w:rsid w:val="0053383A"/>
    <w:rsid w:val="0053590C"/>
    <w:rsid w:val="0053590F"/>
    <w:rsid w:val="00542E89"/>
    <w:rsid w:val="00544960"/>
    <w:rsid w:val="00544D11"/>
    <w:rsid w:val="005457D6"/>
    <w:rsid w:val="00546F1B"/>
    <w:rsid w:val="005531A5"/>
    <w:rsid w:val="00555753"/>
    <w:rsid w:val="00561938"/>
    <w:rsid w:val="00563C40"/>
    <w:rsid w:val="00564193"/>
    <w:rsid w:val="00566646"/>
    <w:rsid w:val="00566D53"/>
    <w:rsid w:val="0057038B"/>
    <w:rsid w:val="00571CE5"/>
    <w:rsid w:val="005743C9"/>
    <w:rsid w:val="005760F2"/>
    <w:rsid w:val="00576F70"/>
    <w:rsid w:val="005776B5"/>
    <w:rsid w:val="005776BB"/>
    <w:rsid w:val="00584D9C"/>
    <w:rsid w:val="00586939"/>
    <w:rsid w:val="005869C9"/>
    <w:rsid w:val="00587CC4"/>
    <w:rsid w:val="005923E7"/>
    <w:rsid w:val="0059263D"/>
    <w:rsid w:val="005A068D"/>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77A6"/>
    <w:rsid w:val="0060129F"/>
    <w:rsid w:val="00606357"/>
    <w:rsid w:val="00607A50"/>
    <w:rsid w:val="00610665"/>
    <w:rsid w:val="006147F0"/>
    <w:rsid w:val="00616EB6"/>
    <w:rsid w:val="0062513B"/>
    <w:rsid w:val="00634F6B"/>
    <w:rsid w:val="006370C0"/>
    <w:rsid w:val="006418D0"/>
    <w:rsid w:val="00641B2D"/>
    <w:rsid w:val="00655424"/>
    <w:rsid w:val="00661A1C"/>
    <w:rsid w:val="00662FE4"/>
    <w:rsid w:val="0066511A"/>
    <w:rsid w:val="00665B52"/>
    <w:rsid w:val="00671A20"/>
    <w:rsid w:val="0067523F"/>
    <w:rsid w:val="00687FEE"/>
    <w:rsid w:val="0069304C"/>
    <w:rsid w:val="00697758"/>
    <w:rsid w:val="006A0CF1"/>
    <w:rsid w:val="006A397E"/>
    <w:rsid w:val="006A501E"/>
    <w:rsid w:val="006B60CF"/>
    <w:rsid w:val="006C0612"/>
    <w:rsid w:val="006C1A6C"/>
    <w:rsid w:val="006C6D2D"/>
    <w:rsid w:val="006C6E70"/>
    <w:rsid w:val="006D0490"/>
    <w:rsid w:val="006D0B5A"/>
    <w:rsid w:val="006D61BD"/>
    <w:rsid w:val="006D759D"/>
    <w:rsid w:val="006D7DA6"/>
    <w:rsid w:val="006E076B"/>
    <w:rsid w:val="006E4CF8"/>
    <w:rsid w:val="006E6964"/>
    <w:rsid w:val="006E73C4"/>
    <w:rsid w:val="006F0E49"/>
    <w:rsid w:val="006F15BC"/>
    <w:rsid w:val="006F38FC"/>
    <w:rsid w:val="006F6FA4"/>
    <w:rsid w:val="006F7FD7"/>
    <w:rsid w:val="0070514E"/>
    <w:rsid w:val="00706D13"/>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7AF1"/>
    <w:rsid w:val="0077396B"/>
    <w:rsid w:val="00777420"/>
    <w:rsid w:val="007878E2"/>
    <w:rsid w:val="007954E4"/>
    <w:rsid w:val="007A10A4"/>
    <w:rsid w:val="007A6092"/>
    <w:rsid w:val="007A713B"/>
    <w:rsid w:val="007B0D4B"/>
    <w:rsid w:val="007B1FF0"/>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20C1D"/>
    <w:rsid w:val="00821199"/>
    <w:rsid w:val="00823033"/>
    <w:rsid w:val="00835A12"/>
    <w:rsid w:val="00840FBF"/>
    <w:rsid w:val="00843FA6"/>
    <w:rsid w:val="008442A1"/>
    <w:rsid w:val="00844EE0"/>
    <w:rsid w:val="008476C3"/>
    <w:rsid w:val="00847C54"/>
    <w:rsid w:val="00856433"/>
    <w:rsid w:val="008629EA"/>
    <w:rsid w:val="00862D2D"/>
    <w:rsid w:val="00863BEF"/>
    <w:rsid w:val="00865B9E"/>
    <w:rsid w:val="00873859"/>
    <w:rsid w:val="00873C49"/>
    <w:rsid w:val="00883D66"/>
    <w:rsid w:val="0088713D"/>
    <w:rsid w:val="008871C5"/>
    <w:rsid w:val="008916E9"/>
    <w:rsid w:val="00891B17"/>
    <w:rsid w:val="00892223"/>
    <w:rsid w:val="0089737B"/>
    <w:rsid w:val="008A04E5"/>
    <w:rsid w:val="008A05A7"/>
    <w:rsid w:val="008A544F"/>
    <w:rsid w:val="008B56B6"/>
    <w:rsid w:val="008C1570"/>
    <w:rsid w:val="008C2C43"/>
    <w:rsid w:val="008C3540"/>
    <w:rsid w:val="008C7D77"/>
    <w:rsid w:val="008D3B6F"/>
    <w:rsid w:val="008D74AE"/>
    <w:rsid w:val="008D7E72"/>
    <w:rsid w:val="008E6276"/>
    <w:rsid w:val="008E76CA"/>
    <w:rsid w:val="008F388D"/>
    <w:rsid w:val="008F4106"/>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7275C"/>
    <w:rsid w:val="009803C1"/>
    <w:rsid w:val="00985AA6"/>
    <w:rsid w:val="00985E7B"/>
    <w:rsid w:val="009878F7"/>
    <w:rsid w:val="00990125"/>
    <w:rsid w:val="0099055F"/>
    <w:rsid w:val="00994494"/>
    <w:rsid w:val="00995FBD"/>
    <w:rsid w:val="009A22C2"/>
    <w:rsid w:val="009A2716"/>
    <w:rsid w:val="009A3A44"/>
    <w:rsid w:val="009A42F2"/>
    <w:rsid w:val="009A6363"/>
    <w:rsid w:val="009A6FDC"/>
    <w:rsid w:val="009A7A38"/>
    <w:rsid w:val="009C582D"/>
    <w:rsid w:val="009C6E87"/>
    <w:rsid w:val="009D32F4"/>
    <w:rsid w:val="009D3381"/>
    <w:rsid w:val="009D43BA"/>
    <w:rsid w:val="009D57F7"/>
    <w:rsid w:val="009D76E2"/>
    <w:rsid w:val="009E32BA"/>
    <w:rsid w:val="009E4F7A"/>
    <w:rsid w:val="009E6957"/>
    <w:rsid w:val="009E7105"/>
    <w:rsid w:val="009F5D3F"/>
    <w:rsid w:val="00A12588"/>
    <w:rsid w:val="00A13156"/>
    <w:rsid w:val="00A1406B"/>
    <w:rsid w:val="00A17384"/>
    <w:rsid w:val="00A22C45"/>
    <w:rsid w:val="00A25B48"/>
    <w:rsid w:val="00A27678"/>
    <w:rsid w:val="00A309AC"/>
    <w:rsid w:val="00A34691"/>
    <w:rsid w:val="00A35CB4"/>
    <w:rsid w:val="00A35EF2"/>
    <w:rsid w:val="00A36FEA"/>
    <w:rsid w:val="00A37850"/>
    <w:rsid w:val="00A465CA"/>
    <w:rsid w:val="00A46BF5"/>
    <w:rsid w:val="00A509FB"/>
    <w:rsid w:val="00A52B27"/>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A0EED"/>
    <w:rsid w:val="00AA1F13"/>
    <w:rsid w:val="00AA4076"/>
    <w:rsid w:val="00AA4081"/>
    <w:rsid w:val="00AB025E"/>
    <w:rsid w:val="00AB3019"/>
    <w:rsid w:val="00AC3E0E"/>
    <w:rsid w:val="00AC4643"/>
    <w:rsid w:val="00AD6A77"/>
    <w:rsid w:val="00AE0896"/>
    <w:rsid w:val="00AE3D1B"/>
    <w:rsid w:val="00AE4C0E"/>
    <w:rsid w:val="00AE4F4C"/>
    <w:rsid w:val="00AF4A72"/>
    <w:rsid w:val="00B05DBF"/>
    <w:rsid w:val="00B064EB"/>
    <w:rsid w:val="00B20D4D"/>
    <w:rsid w:val="00B229A6"/>
    <w:rsid w:val="00B255B6"/>
    <w:rsid w:val="00B2783C"/>
    <w:rsid w:val="00B36CE1"/>
    <w:rsid w:val="00B40B17"/>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4561"/>
    <w:rsid w:val="00C8501C"/>
    <w:rsid w:val="00C863A0"/>
    <w:rsid w:val="00C91798"/>
    <w:rsid w:val="00C92464"/>
    <w:rsid w:val="00CA61BB"/>
    <w:rsid w:val="00CB2315"/>
    <w:rsid w:val="00CB322F"/>
    <w:rsid w:val="00CB5F37"/>
    <w:rsid w:val="00CB7940"/>
    <w:rsid w:val="00CB7E3E"/>
    <w:rsid w:val="00CC3640"/>
    <w:rsid w:val="00CC5005"/>
    <w:rsid w:val="00CC7EA6"/>
    <w:rsid w:val="00CD0AEA"/>
    <w:rsid w:val="00CD3C5F"/>
    <w:rsid w:val="00CD4428"/>
    <w:rsid w:val="00CD631E"/>
    <w:rsid w:val="00CE2376"/>
    <w:rsid w:val="00CE36F1"/>
    <w:rsid w:val="00CF07B2"/>
    <w:rsid w:val="00CF3FB8"/>
    <w:rsid w:val="00D01D6D"/>
    <w:rsid w:val="00D03EBF"/>
    <w:rsid w:val="00D10384"/>
    <w:rsid w:val="00D216CA"/>
    <w:rsid w:val="00D235A0"/>
    <w:rsid w:val="00D24FF3"/>
    <w:rsid w:val="00D25051"/>
    <w:rsid w:val="00D32E61"/>
    <w:rsid w:val="00D37169"/>
    <w:rsid w:val="00D37619"/>
    <w:rsid w:val="00D40100"/>
    <w:rsid w:val="00D464B4"/>
    <w:rsid w:val="00D47119"/>
    <w:rsid w:val="00D524D4"/>
    <w:rsid w:val="00D54B9F"/>
    <w:rsid w:val="00D628A8"/>
    <w:rsid w:val="00D665DA"/>
    <w:rsid w:val="00D66D1A"/>
    <w:rsid w:val="00D7485E"/>
    <w:rsid w:val="00D74CCC"/>
    <w:rsid w:val="00D80D3B"/>
    <w:rsid w:val="00D8422D"/>
    <w:rsid w:val="00D85C53"/>
    <w:rsid w:val="00D875BC"/>
    <w:rsid w:val="00D8799D"/>
    <w:rsid w:val="00D90896"/>
    <w:rsid w:val="00D92FB3"/>
    <w:rsid w:val="00D93E5E"/>
    <w:rsid w:val="00DA0E3C"/>
    <w:rsid w:val="00DA1AAB"/>
    <w:rsid w:val="00DA2558"/>
    <w:rsid w:val="00DA53AA"/>
    <w:rsid w:val="00DA60CA"/>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E66"/>
    <w:rsid w:val="00DF779B"/>
    <w:rsid w:val="00E02526"/>
    <w:rsid w:val="00E06902"/>
    <w:rsid w:val="00E07AC1"/>
    <w:rsid w:val="00E102CC"/>
    <w:rsid w:val="00E1238D"/>
    <w:rsid w:val="00E201A8"/>
    <w:rsid w:val="00E23735"/>
    <w:rsid w:val="00E273C8"/>
    <w:rsid w:val="00E30187"/>
    <w:rsid w:val="00E31540"/>
    <w:rsid w:val="00E31B26"/>
    <w:rsid w:val="00E31F5E"/>
    <w:rsid w:val="00E3268E"/>
    <w:rsid w:val="00E3277D"/>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6199"/>
    <w:rsid w:val="00E8166F"/>
    <w:rsid w:val="00E83759"/>
    <w:rsid w:val="00E83856"/>
    <w:rsid w:val="00E85522"/>
    <w:rsid w:val="00E85FB4"/>
    <w:rsid w:val="00E90478"/>
    <w:rsid w:val="00E90932"/>
    <w:rsid w:val="00E92090"/>
    <w:rsid w:val="00E93F4E"/>
    <w:rsid w:val="00E95121"/>
    <w:rsid w:val="00E953E0"/>
    <w:rsid w:val="00E95674"/>
    <w:rsid w:val="00E9676A"/>
    <w:rsid w:val="00EA1C7F"/>
    <w:rsid w:val="00EA3FEB"/>
    <w:rsid w:val="00EA4C2A"/>
    <w:rsid w:val="00EA5D67"/>
    <w:rsid w:val="00EA7478"/>
    <w:rsid w:val="00EB0CD7"/>
    <w:rsid w:val="00EB26E3"/>
    <w:rsid w:val="00EB5B4D"/>
    <w:rsid w:val="00EB7542"/>
    <w:rsid w:val="00EB7F76"/>
    <w:rsid w:val="00EB7FB2"/>
    <w:rsid w:val="00EC6968"/>
    <w:rsid w:val="00ED5653"/>
    <w:rsid w:val="00EE243D"/>
    <w:rsid w:val="00EE7A6A"/>
    <w:rsid w:val="00EF607F"/>
    <w:rsid w:val="00F034D7"/>
    <w:rsid w:val="00F04D2C"/>
    <w:rsid w:val="00F07D98"/>
    <w:rsid w:val="00F117C0"/>
    <w:rsid w:val="00F13F10"/>
    <w:rsid w:val="00F16BA6"/>
    <w:rsid w:val="00F17444"/>
    <w:rsid w:val="00F25547"/>
    <w:rsid w:val="00F26316"/>
    <w:rsid w:val="00F304F9"/>
    <w:rsid w:val="00F333DB"/>
    <w:rsid w:val="00F33EA8"/>
    <w:rsid w:val="00F348F1"/>
    <w:rsid w:val="00F35E37"/>
    <w:rsid w:val="00F378CC"/>
    <w:rsid w:val="00F4342C"/>
    <w:rsid w:val="00F44FDC"/>
    <w:rsid w:val="00F4524A"/>
    <w:rsid w:val="00F47E8A"/>
    <w:rsid w:val="00F53165"/>
    <w:rsid w:val="00F55C04"/>
    <w:rsid w:val="00F57D32"/>
    <w:rsid w:val="00F60341"/>
    <w:rsid w:val="00F613BF"/>
    <w:rsid w:val="00F61451"/>
    <w:rsid w:val="00F61F8E"/>
    <w:rsid w:val="00F673E3"/>
    <w:rsid w:val="00F67B25"/>
    <w:rsid w:val="00F71EB8"/>
    <w:rsid w:val="00F73058"/>
    <w:rsid w:val="00F74536"/>
    <w:rsid w:val="00F80AD7"/>
    <w:rsid w:val="00F84A48"/>
    <w:rsid w:val="00F85253"/>
    <w:rsid w:val="00F904F5"/>
    <w:rsid w:val="00F92A1F"/>
    <w:rsid w:val="00F93129"/>
    <w:rsid w:val="00F9753C"/>
    <w:rsid w:val="00FA1692"/>
    <w:rsid w:val="00FA29F2"/>
    <w:rsid w:val="00FA5FD0"/>
    <w:rsid w:val="00FB035C"/>
    <w:rsid w:val="00FB4270"/>
    <w:rsid w:val="00FC123F"/>
    <w:rsid w:val="00FC3F95"/>
    <w:rsid w:val="00FC55F6"/>
    <w:rsid w:val="00FD06BF"/>
    <w:rsid w:val="00FD76F2"/>
    <w:rsid w:val="00FE22DE"/>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81E96-1E04-42C5-9438-BFDD87E2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4D7"/>
    <w:pPr>
      <w:widowControl w:val="0"/>
      <w:jc w:val="both"/>
    </w:pPr>
    <w:rPr>
      <w:rFonts w:ascii="等线" w:eastAsia="仿宋_GB2312" w:hAnsi="等线"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403</Words>
  <Characters>2301</Characters>
  <Application>Microsoft Office Word</Application>
  <DocSecurity>0</DocSecurity>
  <Lines>19</Lines>
  <Paragraphs>5</Paragraphs>
  <ScaleCrop>false</ScaleCrop>
  <Company>神州网信技术有限公司</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qq</cp:lastModifiedBy>
  <cp:revision>6</cp:revision>
  <dcterms:created xsi:type="dcterms:W3CDTF">2022-10-27T01:01:00Z</dcterms:created>
  <dcterms:modified xsi:type="dcterms:W3CDTF">2022-10-28T00:32:00Z</dcterms:modified>
</cp:coreProperties>
</file>