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B2" w:rsidRPr="009F12C0" w:rsidRDefault="00BD31B2" w:rsidP="000908CE">
      <w:pPr>
        <w:spacing w:line="600" w:lineRule="exact"/>
        <w:ind w:firstLineChars="0" w:firstLine="0"/>
        <w:jc w:val="left"/>
        <w:rPr>
          <w:rFonts w:ascii="黑体" w:eastAsia="黑体" w:hAnsi="黑体"/>
        </w:rPr>
      </w:pPr>
      <w:bookmarkStart w:id="0" w:name="_GoBack"/>
      <w:bookmarkEnd w:id="0"/>
      <w:r w:rsidRPr="009F12C0">
        <w:rPr>
          <w:rFonts w:ascii="黑体" w:eastAsia="黑体" w:hAnsi="黑体" w:hint="eastAsia"/>
        </w:rPr>
        <w:t>附件</w:t>
      </w:r>
    </w:p>
    <w:p w:rsidR="00BD31B2" w:rsidRDefault="005F3F74" w:rsidP="000908CE">
      <w:pPr>
        <w:spacing w:line="600" w:lineRule="exact"/>
        <w:ind w:firstLineChars="0" w:firstLine="0"/>
        <w:jc w:val="center"/>
        <w:rPr>
          <w:rFonts w:ascii="方正小标宋简体" w:eastAsia="方正小标宋简体"/>
        </w:rPr>
      </w:pPr>
      <w:r w:rsidRPr="005F3F74">
        <w:rPr>
          <w:rFonts w:ascii="方正小标宋简体" w:eastAsia="方正小标宋简体" w:hint="eastAsia"/>
        </w:rPr>
        <w:t>监察执法二处</w:t>
      </w:r>
      <w:r w:rsidR="00BD31B2">
        <w:rPr>
          <w:rFonts w:ascii="方正小标宋简体" w:eastAsia="方正小标宋简体" w:hint="eastAsia"/>
        </w:rPr>
        <w:t>2022年第8批行政处罚信息公开表</w:t>
      </w:r>
    </w:p>
    <w:p w:rsidR="00BD31B2" w:rsidRDefault="00BD31B2">
      <w:pPr>
        <w:ind w:firstLine="632"/>
        <w:jc w:val="center"/>
        <w:rPr>
          <w:rFonts w:ascii="方正小标宋简体" w:eastAsia="方正小标宋简体"/>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545"/>
        <w:gridCol w:w="1248"/>
        <w:gridCol w:w="1259"/>
        <w:gridCol w:w="4917"/>
        <w:gridCol w:w="1373"/>
        <w:gridCol w:w="1193"/>
      </w:tblGrid>
      <w:tr w:rsidR="00BD31B2" w:rsidRPr="00D173AE" w:rsidTr="009F12C0">
        <w:tc>
          <w:tcPr>
            <w:tcW w:w="454" w:type="pct"/>
            <w:shd w:val="clear" w:color="auto" w:fill="auto"/>
            <w:vAlign w:val="center"/>
          </w:tcPr>
          <w:p w:rsidR="00BD31B2" w:rsidRPr="009F12C0" w:rsidRDefault="00BD31B2" w:rsidP="000908CE">
            <w:pPr>
              <w:spacing w:line="280" w:lineRule="exact"/>
              <w:ind w:firstLineChars="0" w:firstLine="0"/>
              <w:rPr>
                <w:rFonts w:ascii="黑体" w:eastAsia="黑体" w:hAnsi="黑体"/>
                <w:sz w:val="24"/>
                <w:szCs w:val="24"/>
              </w:rPr>
            </w:pPr>
            <w:r w:rsidRPr="009F12C0">
              <w:rPr>
                <w:rFonts w:ascii="黑体" w:eastAsia="黑体" w:hAnsi="黑体" w:hint="eastAsia"/>
                <w:sz w:val="24"/>
                <w:szCs w:val="24"/>
              </w:rPr>
              <w:t>序号</w:t>
            </w:r>
          </w:p>
        </w:tc>
        <w:tc>
          <w:tcPr>
            <w:tcW w:w="609" w:type="pct"/>
            <w:shd w:val="clear" w:color="auto" w:fill="auto"/>
            <w:vAlign w:val="center"/>
          </w:tcPr>
          <w:p w:rsidR="00BD31B2" w:rsidRPr="009F12C0" w:rsidRDefault="00BD31B2" w:rsidP="000908CE">
            <w:pPr>
              <w:spacing w:line="280" w:lineRule="exact"/>
              <w:ind w:firstLineChars="0" w:firstLine="0"/>
              <w:jc w:val="left"/>
              <w:rPr>
                <w:rFonts w:ascii="黑体" w:eastAsia="黑体" w:hAnsi="黑体"/>
                <w:sz w:val="24"/>
                <w:szCs w:val="24"/>
              </w:rPr>
            </w:pPr>
            <w:r w:rsidRPr="009F12C0">
              <w:rPr>
                <w:rFonts w:ascii="黑体" w:eastAsia="黑体" w:hAnsi="黑体" w:hint="eastAsia"/>
                <w:sz w:val="24"/>
                <w:szCs w:val="24"/>
              </w:rPr>
              <w:t>执法决定日期</w:t>
            </w:r>
          </w:p>
        </w:tc>
        <w:tc>
          <w:tcPr>
            <w:tcW w:w="492" w:type="pct"/>
            <w:shd w:val="clear" w:color="auto" w:fill="auto"/>
            <w:vAlign w:val="center"/>
          </w:tcPr>
          <w:p w:rsidR="00BD31B2" w:rsidRPr="009F12C0" w:rsidRDefault="00BD31B2" w:rsidP="000908CE">
            <w:pPr>
              <w:spacing w:line="280" w:lineRule="exact"/>
              <w:ind w:firstLineChars="0" w:firstLine="0"/>
              <w:rPr>
                <w:rFonts w:ascii="黑体" w:eastAsia="黑体" w:hAnsi="黑体"/>
                <w:sz w:val="24"/>
                <w:szCs w:val="24"/>
              </w:rPr>
            </w:pPr>
            <w:r w:rsidRPr="009F12C0">
              <w:rPr>
                <w:rFonts w:ascii="黑体" w:eastAsia="黑体" w:hAnsi="黑体" w:hint="eastAsia"/>
                <w:sz w:val="24"/>
                <w:szCs w:val="24"/>
              </w:rPr>
              <w:t>执法</w:t>
            </w:r>
          </w:p>
          <w:p w:rsidR="00BD31B2" w:rsidRPr="009F12C0" w:rsidRDefault="00BD31B2" w:rsidP="000908CE">
            <w:pPr>
              <w:spacing w:line="280" w:lineRule="exact"/>
              <w:ind w:firstLineChars="0" w:firstLine="0"/>
              <w:rPr>
                <w:rFonts w:ascii="黑体" w:eastAsia="黑体" w:hAnsi="黑体"/>
                <w:sz w:val="24"/>
                <w:szCs w:val="24"/>
              </w:rPr>
            </w:pPr>
            <w:r w:rsidRPr="009F12C0">
              <w:rPr>
                <w:rFonts w:ascii="黑体" w:eastAsia="黑体" w:hAnsi="黑体" w:hint="eastAsia"/>
                <w:sz w:val="24"/>
                <w:szCs w:val="24"/>
              </w:rPr>
              <w:t>主体</w:t>
            </w:r>
          </w:p>
        </w:tc>
        <w:tc>
          <w:tcPr>
            <w:tcW w:w="496" w:type="pct"/>
            <w:shd w:val="clear" w:color="auto" w:fill="auto"/>
            <w:vAlign w:val="center"/>
          </w:tcPr>
          <w:p w:rsidR="00BD31B2" w:rsidRPr="009F12C0" w:rsidRDefault="00BD31B2" w:rsidP="000908CE">
            <w:pPr>
              <w:spacing w:line="280" w:lineRule="exact"/>
              <w:ind w:firstLineChars="0" w:firstLine="0"/>
              <w:jc w:val="left"/>
              <w:rPr>
                <w:rFonts w:ascii="黑体" w:eastAsia="黑体" w:hAnsi="黑体"/>
                <w:sz w:val="24"/>
                <w:szCs w:val="24"/>
              </w:rPr>
            </w:pPr>
            <w:r w:rsidRPr="009F12C0">
              <w:rPr>
                <w:rFonts w:ascii="黑体" w:eastAsia="黑体" w:hAnsi="黑体" w:hint="eastAsia"/>
                <w:sz w:val="24"/>
                <w:szCs w:val="24"/>
              </w:rPr>
              <w:t>执法对象</w:t>
            </w:r>
          </w:p>
        </w:tc>
        <w:tc>
          <w:tcPr>
            <w:tcW w:w="1938" w:type="pct"/>
            <w:shd w:val="clear" w:color="auto" w:fill="auto"/>
            <w:vAlign w:val="center"/>
          </w:tcPr>
          <w:p w:rsidR="00BD31B2" w:rsidRPr="009F12C0" w:rsidRDefault="00BD31B2" w:rsidP="000908CE">
            <w:pPr>
              <w:spacing w:line="280" w:lineRule="exact"/>
              <w:ind w:firstLineChars="0" w:firstLine="0"/>
              <w:jc w:val="center"/>
              <w:rPr>
                <w:rFonts w:ascii="黑体" w:eastAsia="黑体" w:hAnsi="黑体"/>
                <w:sz w:val="24"/>
                <w:szCs w:val="24"/>
              </w:rPr>
            </w:pPr>
            <w:r w:rsidRPr="009F12C0">
              <w:rPr>
                <w:rFonts w:ascii="黑体" w:eastAsia="黑体" w:hAnsi="黑体" w:hint="eastAsia"/>
                <w:sz w:val="24"/>
                <w:szCs w:val="24"/>
              </w:rPr>
              <w:t>违法事实</w:t>
            </w:r>
          </w:p>
        </w:tc>
        <w:tc>
          <w:tcPr>
            <w:tcW w:w="541" w:type="pct"/>
            <w:shd w:val="clear" w:color="auto" w:fill="auto"/>
            <w:vAlign w:val="center"/>
          </w:tcPr>
          <w:p w:rsidR="00BD31B2" w:rsidRPr="009F12C0" w:rsidRDefault="00BD31B2" w:rsidP="000908CE">
            <w:pPr>
              <w:spacing w:line="280" w:lineRule="exact"/>
              <w:ind w:firstLineChars="0" w:firstLine="0"/>
              <w:jc w:val="left"/>
              <w:rPr>
                <w:rFonts w:ascii="黑体" w:eastAsia="黑体" w:hAnsi="黑体"/>
                <w:sz w:val="24"/>
                <w:szCs w:val="24"/>
              </w:rPr>
            </w:pPr>
            <w:r w:rsidRPr="009F12C0">
              <w:rPr>
                <w:rFonts w:ascii="黑体" w:eastAsia="黑体" w:hAnsi="黑体" w:hint="eastAsia"/>
                <w:sz w:val="24"/>
                <w:szCs w:val="24"/>
              </w:rPr>
              <w:t>处罚</w:t>
            </w:r>
          </w:p>
          <w:p w:rsidR="00BD31B2" w:rsidRPr="009F12C0" w:rsidRDefault="00BD31B2" w:rsidP="000908CE">
            <w:pPr>
              <w:spacing w:line="280" w:lineRule="exact"/>
              <w:ind w:firstLineChars="0" w:firstLine="0"/>
              <w:jc w:val="left"/>
              <w:rPr>
                <w:rFonts w:ascii="黑体" w:eastAsia="黑体" w:hAnsi="黑体"/>
                <w:sz w:val="24"/>
                <w:szCs w:val="24"/>
              </w:rPr>
            </w:pPr>
            <w:r w:rsidRPr="009F12C0">
              <w:rPr>
                <w:rFonts w:ascii="黑体" w:eastAsia="黑体" w:hAnsi="黑体" w:hint="eastAsia"/>
                <w:sz w:val="24"/>
                <w:szCs w:val="24"/>
              </w:rPr>
              <w:t>依据</w:t>
            </w:r>
          </w:p>
        </w:tc>
        <w:tc>
          <w:tcPr>
            <w:tcW w:w="470" w:type="pct"/>
            <w:shd w:val="clear" w:color="auto" w:fill="auto"/>
            <w:vAlign w:val="center"/>
          </w:tcPr>
          <w:p w:rsidR="00BD31B2" w:rsidRPr="009F12C0" w:rsidRDefault="00BD31B2" w:rsidP="000908CE">
            <w:pPr>
              <w:spacing w:line="280" w:lineRule="exact"/>
              <w:ind w:firstLineChars="0" w:firstLine="0"/>
              <w:rPr>
                <w:rFonts w:ascii="黑体" w:eastAsia="黑体" w:hAnsi="黑体"/>
                <w:sz w:val="24"/>
                <w:szCs w:val="24"/>
              </w:rPr>
            </w:pPr>
            <w:r w:rsidRPr="009F12C0">
              <w:rPr>
                <w:rFonts w:ascii="黑体" w:eastAsia="黑体" w:hAnsi="黑体" w:hint="eastAsia"/>
                <w:sz w:val="24"/>
                <w:szCs w:val="24"/>
              </w:rPr>
              <w:t>处罚</w:t>
            </w:r>
          </w:p>
          <w:p w:rsidR="00BD31B2" w:rsidRPr="009F12C0" w:rsidRDefault="00BD31B2" w:rsidP="000908CE">
            <w:pPr>
              <w:spacing w:line="280" w:lineRule="exact"/>
              <w:ind w:firstLineChars="0" w:firstLine="0"/>
              <w:rPr>
                <w:rFonts w:ascii="黑体" w:eastAsia="黑体" w:hAnsi="黑体"/>
                <w:sz w:val="24"/>
                <w:szCs w:val="24"/>
              </w:rPr>
            </w:pPr>
            <w:r w:rsidRPr="009F12C0">
              <w:rPr>
                <w:rFonts w:ascii="黑体" w:eastAsia="黑体" w:hAnsi="黑体" w:hint="eastAsia"/>
                <w:sz w:val="24"/>
                <w:szCs w:val="24"/>
              </w:rPr>
              <w:t>内容</w:t>
            </w:r>
          </w:p>
        </w:tc>
      </w:tr>
    </w:tbl>
    <w:tbl>
      <w:tblPr>
        <w:tblStyle w:val="a"/>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545"/>
        <w:gridCol w:w="1248"/>
        <w:gridCol w:w="1259"/>
        <w:gridCol w:w="4917"/>
        <w:gridCol w:w="1373"/>
        <w:gridCol w:w="1193"/>
      </w:tblGrid>
      <w:tr w:rsidR="00BD31B2" w:rsidRPr="00D173AE" w:rsidTr="009F12C0">
        <w:tc>
          <w:tcPr>
            <w:tcW w:w="454" w:type="pct"/>
            <w:vMerge w:val="restar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1</w:t>
            </w:r>
          </w:p>
        </w:tc>
        <w:tc>
          <w:tcPr>
            <w:tcW w:w="609" w:type="pct"/>
            <w:vMerge w:val="restar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2022年8月22日</w:t>
            </w:r>
          </w:p>
        </w:tc>
        <w:tc>
          <w:tcPr>
            <w:tcW w:w="492" w:type="pct"/>
            <w:vMerge w:val="restart"/>
            <w:shd w:val="clear" w:color="auto" w:fill="auto"/>
            <w:vAlign w:val="center"/>
          </w:tcPr>
          <w:p w:rsidR="00BD31B2" w:rsidRPr="00D173AE" w:rsidRDefault="00BD31B2" w:rsidP="000908CE">
            <w:pPr>
              <w:spacing w:line="280" w:lineRule="exact"/>
              <w:ind w:firstLineChars="0" w:firstLine="0"/>
              <w:jc w:val="center"/>
              <w:rPr>
                <w:sz w:val="24"/>
                <w:szCs w:val="24"/>
              </w:rPr>
            </w:pPr>
            <w:r w:rsidRPr="00D173AE">
              <w:rPr>
                <w:rFonts w:hint="eastAsia"/>
                <w:sz w:val="24"/>
                <w:szCs w:val="24"/>
              </w:rPr>
              <w:t>国家矿山安全监察局山东局</w:t>
            </w:r>
          </w:p>
        </w:tc>
        <w:tc>
          <w:tcPr>
            <w:tcW w:w="496" w:type="pct"/>
            <w:vMerge w:val="restart"/>
            <w:shd w:val="clear" w:color="auto" w:fill="auto"/>
            <w:vAlign w:val="center"/>
          </w:tcPr>
          <w:p w:rsidR="00BD31B2" w:rsidRPr="00D173AE" w:rsidRDefault="00BD31B2" w:rsidP="000908CE">
            <w:pPr>
              <w:spacing w:line="280" w:lineRule="exact"/>
              <w:ind w:firstLineChars="0" w:firstLine="0"/>
              <w:jc w:val="center"/>
              <w:rPr>
                <w:sz w:val="24"/>
                <w:szCs w:val="24"/>
              </w:rPr>
            </w:pPr>
            <w:r w:rsidRPr="00D173AE">
              <w:rPr>
                <w:rFonts w:hint="eastAsia"/>
                <w:sz w:val="24"/>
                <w:szCs w:val="24"/>
              </w:rPr>
              <w:t>山东明兴矿业集团有限公司小港煤矿</w:t>
            </w: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1.71503辅助轨道巷安设的控制风流的风门关闭不严，漏风，不符合《煤矿安全规程》第一百五十五条第一款的规定;八采区皮带下山中部以下有一段长约70m的地段巷道失修，喷体开裂，影响通风和行人安全，不符合《煤矿安全规程》第一百二十五条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《中华人民共和国安全生产法》第一百零二条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罚款人民币三万元 整</w:t>
            </w:r>
          </w:p>
        </w:tc>
      </w:tr>
      <w:tr w:rsidR="00BD31B2" w:rsidRPr="00D173AE" w:rsidTr="009F12C0">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2.71503运输巷中部有三根锚索外露长度300-350mm，不符合《71503运输巷掘进工作面作业规程》中“锚索外露长度150-250mm”的规定；</w:t>
            </w:r>
            <w:proofErr w:type="gramStart"/>
            <w:r w:rsidRPr="00D173AE">
              <w:rPr>
                <w:rFonts w:hint="eastAsia"/>
                <w:sz w:val="24"/>
                <w:szCs w:val="24"/>
              </w:rPr>
              <w:t>七采13煤集中</w:t>
            </w:r>
            <w:proofErr w:type="gramEnd"/>
            <w:r w:rsidRPr="00D173AE">
              <w:rPr>
                <w:rFonts w:hint="eastAsia"/>
                <w:sz w:val="24"/>
                <w:szCs w:val="24"/>
              </w:rPr>
              <w:t>轨道巷整修施工地点有4根</w:t>
            </w:r>
            <w:proofErr w:type="gramStart"/>
            <w:r w:rsidRPr="00D173AE">
              <w:rPr>
                <w:rFonts w:hint="eastAsia"/>
                <w:sz w:val="24"/>
                <w:szCs w:val="24"/>
              </w:rPr>
              <w:t>锚杆锚盘未</w:t>
            </w:r>
            <w:proofErr w:type="gramEnd"/>
            <w:r w:rsidRPr="00D173AE">
              <w:rPr>
                <w:rFonts w:hint="eastAsia"/>
                <w:sz w:val="24"/>
                <w:szCs w:val="24"/>
              </w:rPr>
              <w:t>贴紧岩面，拧紧力矩小于300N·m，不符合《七采13煤集中轨道巷整修施工安全技术措施》“锚盘紧贴壁面且不松动，锚杆预紧力为300N·m”的规定；8403-2综采工作面有两段煤壁片帮严重，现场未采用经纬网配合带</w:t>
            </w:r>
            <w:proofErr w:type="gramStart"/>
            <w:r w:rsidRPr="00D173AE">
              <w:rPr>
                <w:rFonts w:hint="eastAsia"/>
                <w:sz w:val="24"/>
                <w:szCs w:val="24"/>
              </w:rPr>
              <w:t>帽点柱挡杆</w:t>
            </w:r>
            <w:proofErr w:type="gramEnd"/>
            <w:r w:rsidRPr="00D173AE">
              <w:rPr>
                <w:rFonts w:hint="eastAsia"/>
                <w:sz w:val="24"/>
                <w:szCs w:val="24"/>
              </w:rPr>
              <w:t>的临时支护措施，不符合《8403-2综采工作面准备撤除打锚杆（锚索）支护安全技术措施》中“煤壁片帮严重时，人员进入机道打设锚杆需对煤壁进行临时支护，支护方法为经纬网配合带帽点柱挡矸，防止煤壁片帮伤人”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《中华人民共和国矿山安全法实施条例》第五十四条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罚款人民币二万元 整</w:t>
            </w:r>
          </w:p>
        </w:tc>
      </w:tr>
      <w:tr w:rsidR="00BD31B2" w:rsidRPr="00D173AE" w:rsidTr="009F12C0">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3.安全监控系统显示功能不全，多曲线显示时曲线重合，不能实现多曲线同屏对比功能，无</w:t>
            </w:r>
            <w:r w:rsidRPr="00D173AE">
              <w:rPr>
                <w:rFonts w:hint="eastAsia"/>
                <w:sz w:val="24"/>
                <w:szCs w:val="24"/>
              </w:rPr>
              <w:lastRenderedPageBreak/>
              <w:t>法正常进行异常数据分析，不符合《煤矿安全监控系统及检测仪器使用管理规范》（AQ1029—2019）第4.9的规定；查阅人员位置监测系统时发现，8403采煤工作面定位分站定位精度无法满足生产区域人员位置监测的需要，不符合《山东煤矿人员精确定位系统技术要求（试行）》（</w:t>
            </w:r>
            <w:proofErr w:type="gramStart"/>
            <w:r w:rsidRPr="00D173AE">
              <w:rPr>
                <w:rFonts w:hint="eastAsia"/>
                <w:sz w:val="24"/>
                <w:szCs w:val="24"/>
              </w:rPr>
              <w:t>鲁煤监技</w:t>
            </w:r>
            <w:proofErr w:type="gramEnd"/>
            <w:r w:rsidRPr="00D173AE">
              <w:rPr>
                <w:rFonts w:hint="eastAsia"/>
                <w:sz w:val="24"/>
                <w:szCs w:val="24"/>
              </w:rPr>
              <w:t>装〔2019〕55号）第6.1a的规定；七采区轨道下山为串车提升，上车场变坡点下方略大于1列车长度的地点设置的挡车栏宽度仅0.8m，不及巷道宽度的1/4，不符合《煤矿安全规程》第三百八十七条第一款第五项的规定；8202-1进风巷掘进工作面（停掘）安设的风筒传感器没有在风筒末端，不符合《煤矿安全监控系统及检测仪器使用管理规范》（AQ1029-2019）第7.11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lastRenderedPageBreak/>
              <w:t>《中华人民共和国</w:t>
            </w:r>
            <w:r w:rsidRPr="00D173AE">
              <w:rPr>
                <w:rFonts w:hint="eastAsia"/>
                <w:sz w:val="24"/>
                <w:szCs w:val="24"/>
              </w:rPr>
              <w:lastRenderedPageBreak/>
              <w:t>安全生产法》第九十九条第二项</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lastRenderedPageBreak/>
              <w:t xml:space="preserve">罚款人民币四万元 </w:t>
            </w:r>
            <w:r w:rsidRPr="00D173AE">
              <w:rPr>
                <w:rFonts w:hint="eastAsia"/>
                <w:sz w:val="24"/>
                <w:szCs w:val="24"/>
              </w:rPr>
              <w:lastRenderedPageBreak/>
              <w:t>整</w:t>
            </w:r>
          </w:p>
        </w:tc>
      </w:tr>
      <w:tr w:rsidR="00BD31B2" w:rsidRPr="00D173AE" w:rsidTr="009F12C0">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4.矿井安全监测工共6人，其中3名女监测工负责值班，剩余3名监测工负责井下设备安装、维护等工作，无法完成便携式光学甲烷检测仪或者便携式甲烷检测报警仪与甲烷传感器进行对照工作，不符合《煤矿安全监控系统及检测仪器使用管理规范》（AQ1029—2019）第8.4.1的规定；矿井没有每月对安全监控设备进行调校、测试，不符合《煤矿安全规程》第四百九十二条第一款的规定；</w:t>
            </w:r>
            <w:proofErr w:type="gramStart"/>
            <w:r w:rsidRPr="00D173AE">
              <w:rPr>
                <w:rFonts w:hint="eastAsia"/>
                <w:sz w:val="24"/>
                <w:szCs w:val="24"/>
              </w:rPr>
              <w:t>八采辅助</w:t>
            </w:r>
            <w:proofErr w:type="gramEnd"/>
            <w:r w:rsidRPr="00D173AE">
              <w:rPr>
                <w:rFonts w:hint="eastAsia"/>
                <w:sz w:val="24"/>
                <w:szCs w:val="24"/>
              </w:rPr>
              <w:t>运输巷安设的风门联锁装置失效，造成风门无法打开，不符合《煤矿安全规程》第一百五十五条第一款的规定。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《中华人民共和国安全生产法》第九十九条第三项</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罚款人民币四万元 整</w:t>
            </w:r>
          </w:p>
        </w:tc>
      </w:tr>
      <w:tr w:rsidR="00BD31B2" w:rsidRPr="00D173AE" w:rsidTr="009F12C0">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5.</w:t>
            </w:r>
            <w:proofErr w:type="gramStart"/>
            <w:r w:rsidRPr="00D173AE">
              <w:rPr>
                <w:rFonts w:hint="eastAsia"/>
                <w:sz w:val="24"/>
                <w:szCs w:val="24"/>
              </w:rPr>
              <w:t>七采13煤集中</w:t>
            </w:r>
            <w:proofErr w:type="gramEnd"/>
            <w:r w:rsidRPr="00D173AE">
              <w:rPr>
                <w:rFonts w:hint="eastAsia"/>
                <w:sz w:val="24"/>
                <w:szCs w:val="24"/>
              </w:rPr>
              <w:t>轨道巷整修卧底时需要放炮，安设的高压喷雾降尘装置距作业地点超过70m，不符合《煤矿井下粉尘综合防治技术规范》（AQ1020-2006）第4.7.2.4的规定；七采</w:t>
            </w:r>
            <w:r w:rsidRPr="00D173AE">
              <w:rPr>
                <w:rFonts w:hint="eastAsia"/>
                <w:sz w:val="24"/>
                <w:szCs w:val="24"/>
              </w:rPr>
              <w:lastRenderedPageBreak/>
              <w:t>集</w:t>
            </w:r>
            <w:proofErr w:type="gramStart"/>
            <w:r w:rsidRPr="00D173AE">
              <w:rPr>
                <w:rFonts w:hint="eastAsia"/>
                <w:sz w:val="24"/>
                <w:szCs w:val="24"/>
              </w:rPr>
              <w:t>中运输</w:t>
            </w:r>
            <w:proofErr w:type="gramEnd"/>
            <w:r w:rsidRPr="00D173AE">
              <w:rPr>
                <w:rFonts w:hint="eastAsia"/>
                <w:sz w:val="24"/>
                <w:szCs w:val="24"/>
              </w:rPr>
              <w:t>巷机头处约50m范围内巷道底部粉尘干燥，未及时清扫或冲洗沉积煤尘，不符合《煤矿井下粉尘综合防治技术规范》（AQ1020-2006）第6.3条第二款的规定。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lastRenderedPageBreak/>
              <w:t>《中华人民共和国矿山安全法实施条</w:t>
            </w:r>
            <w:r w:rsidRPr="00D173AE">
              <w:rPr>
                <w:rFonts w:hint="eastAsia"/>
                <w:sz w:val="24"/>
                <w:szCs w:val="24"/>
              </w:rPr>
              <w:lastRenderedPageBreak/>
              <w:t>例》第五十四条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lastRenderedPageBreak/>
              <w:t>罚款人民币二万元 整</w:t>
            </w:r>
          </w:p>
        </w:tc>
      </w:tr>
    </w:tbl>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545"/>
        <w:gridCol w:w="1248"/>
        <w:gridCol w:w="1259"/>
        <w:gridCol w:w="4917"/>
        <w:gridCol w:w="1373"/>
        <w:gridCol w:w="1193"/>
      </w:tblGrid>
      <w:tr w:rsidR="00BD31B2" w:rsidRPr="00D173AE" w:rsidTr="009F12C0">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6.71503回风联络巷贯通71503</w:t>
            </w:r>
            <w:proofErr w:type="gramStart"/>
            <w:r w:rsidRPr="00D173AE">
              <w:rPr>
                <w:rFonts w:hint="eastAsia"/>
                <w:sz w:val="24"/>
                <w:szCs w:val="24"/>
              </w:rPr>
              <w:t>轨道巷前约</w:t>
            </w:r>
            <w:proofErr w:type="gramEnd"/>
            <w:r w:rsidRPr="00D173AE">
              <w:rPr>
                <w:rFonts w:hint="eastAsia"/>
                <w:sz w:val="24"/>
                <w:szCs w:val="24"/>
              </w:rPr>
              <w:t>10m处揭露一条0.6m正断层，过断层后采用锚网索托顶煤支护（</w:t>
            </w:r>
            <w:proofErr w:type="gramStart"/>
            <w:r w:rsidRPr="00D173AE">
              <w:rPr>
                <w:rFonts w:hint="eastAsia"/>
                <w:sz w:val="24"/>
                <w:szCs w:val="24"/>
              </w:rPr>
              <w:t>顶煤厚</w:t>
            </w:r>
            <w:proofErr w:type="gramEnd"/>
            <w:r w:rsidRPr="00D173AE">
              <w:rPr>
                <w:rFonts w:hint="eastAsia"/>
                <w:sz w:val="24"/>
                <w:szCs w:val="24"/>
              </w:rPr>
              <w:t>约30cm），与71503轨道巷交汇处顶板</w:t>
            </w:r>
            <w:proofErr w:type="gramStart"/>
            <w:r w:rsidRPr="00D173AE">
              <w:rPr>
                <w:rFonts w:hint="eastAsia"/>
                <w:sz w:val="24"/>
                <w:szCs w:val="24"/>
              </w:rPr>
              <w:t>错茬约</w:t>
            </w:r>
            <w:proofErr w:type="gramEnd"/>
            <w:r w:rsidRPr="00D173AE">
              <w:rPr>
                <w:rFonts w:hint="eastAsia"/>
                <w:sz w:val="24"/>
                <w:szCs w:val="24"/>
              </w:rPr>
              <w:t>30cm；</w:t>
            </w:r>
            <w:proofErr w:type="gramStart"/>
            <w:r w:rsidRPr="00D173AE">
              <w:rPr>
                <w:rFonts w:hint="eastAsia"/>
                <w:sz w:val="24"/>
                <w:szCs w:val="24"/>
              </w:rPr>
              <w:t>三岔门处</w:t>
            </w:r>
            <w:proofErr w:type="gramEnd"/>
            <w:r w:rsidRPr="00D173AE">
              <w:rPr>
                <w:rFonts w:hint="eastAsia"/>
                <w:sz w:val="24"/>
                <w:szCs w:val="24"/>
              </w:rPr>
              <w:t>巷道断面大（宽×高=4.5×3m），应力集中，托顶煤支护降低了巷道支护强度，存在</w:t>
            </w:r>
            <w:proofErr w:type="gramStart"/>
            <w:r w:rsidRPr="00D173AE">
              <w:rPr>
                <w:rFonts w:hint="eastAsia"/>
                <w:sz w:val="24"/>
                <w:szCs w:val="24"/>
              </w:rPr>
              <w:t>顶板冒落的</w:t>
            </w:r>
            <w:proofErr w:type="gramEnd"/>
            <w:r w:rsidRPr="00D173AE">
              <w:rPr>
                <w:rFonts w:hint="eastAsia"/>
                <w:sz w:val="24"/>
                <w:szCs w:val="24"/>
              </w:rPr>
              <w:t>重大风险，未按照安全风险分级采取相应的管控措施，不符合《中华人民共和国安全生产法》第四十一条第一款的规定；矿井在8403外运输巷风桥处设置的第M8-55#密闭</w:t>
            </w:r>
            <w:proofErr w:type="gramStart"/>
            <w:r w:rsidRPr="00D173AE">
              <w:rPr>
                <w:rFonts w:hint="eastAsia"/>
                <w:sz w:val="24"/>
                <w:szCs w:val="24"/>
              </w:rPr>
              <w:t>墙采用</w:t>
            </w:r>
            <w:proofErr w:type="gramEnd"/>
            <w:r w:rsidRPr="00D173AE">
              <w:rPr>
                <w:rFonts w:hint="eastAsia"/>
                <w:sz w:val="24"/>
                <w:szCs w:val="24"/>
              </w:rPr>
              <w:t>矸石袋垒设，向采空区漏风严重，矿井开采的4煤层是自燃煤层，存在自然发火的重大风险，未按照安全风险分级采取相应的管控措施，不符合《中华人民共和国安全生产法》第四十一条第一款的规定。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《中华人民共和国安全生产法》第一百零一条第四项</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罚款人民币十万元 整</w:t>
            </w:r>
          </w:p>
        </w:tc>
      </w:tr>
      <w:tr w:rsidR="00BD31B2" w:rsidRPr="00D173AE" w:rsidTr="009F12C0">
        <w:trPr>
          <w:trHeight w:val="90"/>
        </w:trPr>
        <w:tc>
          <w:tcPr>
            <w:tcW w:w="454"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609"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492" w:type="pct"/>
            <w:vMerge/>
            <w:shd w:val="clear" w:color="auto" w:fill="auto"/>
            <w:vAlign w:val="center"/>
          </w:tcPr>
          <w:p w:rsidR="00BD31B2" w:rsidRPr="00D173AE" w:rsidRDefault="00BD31B2" w:rsidP="000908CE">
            <w:pPr>
              <w:spacing w:line="280" w:lineRule="exact"/>
              <w:ind w:firstLineChars="0" w:firstLine="0"/>
              <w:jc w:val="center"/>
              <w:rPr>
                <w:sz w:val="24"/>
                <w:szCs w:val="24"/>
              </w:rPr>
            </w:pPr>
          </w:p>
        </w:tc>
        <w:tc>
          <w:tcPr>
            <w:tcW w:w="496" w:type="pct"/>
            <w:vMerge/>
            <w:shd w:val="clear" w:color="auto" w:fill="auto"/>
            <w:vAlign w:val="center"/>
          </w:tcPr>
          <w:p w:rsidR="00BD31B2" w:rsidRPr="00D173AE" w:rsidRDefault="00BD31B2" w:rsidP="000908CE">
            <w:pPr>
              <w:spacing w:line="280" w:lineRule="exact"/>
              <w:ind w:firstLineChars="0" w:firstLine="0"/>
              <w:rPr>
                <w:sz w:val="24"/>
                <w:szCs w:val="24"/>
              </w:rPr>
            </w:pP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7.矿井密闭墙台账中记录的8403外运输巷风桥处设置的第M8-55#密闭墙是砖混结构，8月2日现场检查时发现该密闭墙是采用矸石袋垒设；2022年7月15日，矿井对8202-1进风巷掘进工作面进行了启封密闭且排放瓦斯，但7月份以来上报的《煤矿安全生产风险动态管控总体情况表》中没有包括该地点的启封密闭及排放瓦斯情况。矿井提供虚假材料、不能如实反映情况，不符合《煤矿安全监察条例》第三十二条的规定。</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《煤矿安全监察条例》第四十五条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警告，罚款人民币三万元 整</w:t>
            </w:r>
          </w:p>
        </w:tc>
      </w:tr>
      <w:tr w:rsidR="00BD31B2" w:rsidRPr="00D173AE" w:rsidTr="009F12C0">
        <w:trPr>
          <w:trHeight w:val="90"/>
        </w:trPr>
        <w:tc>
          <w:tcPr>
            <w:tcW w:w="454" w:type="pct"/>
            <w:shd w:val="clear" w:color="auto" w:fill="auto"/>
            <w:vAlign w:val="center"/>
          </w:tcPr>
          <w:p w:rsidR="00BD31B2" w:rsidRPr="00D173AE" w:rsidRDefault="00BD31B2" w:rsidP="000908CE">
            <w:pPr>
              <w:spacing w:line="280" w:lineRule="exact"/>
              <w:ind w:firstLineChars="0" w:firstLine="0"/>
              <w:rPr>
                <w:sz w:val="24"/>
                <w:szCs w:val="24"/>
              </w:rPr>
            </w:pPr>
            <w:r>
              <w:rPr>
                <w:rFonts w:hint="eastAsia"/>
                <w:sz w:val="24"/>
                <w:szCs w:val="24"/>
              </w:rPr>
              <w:t>2</w:t>
            </w:r>
          </w:p>
        </w:tc>
        <w:tc>
          <w:tcPr>
            <w:tcW w:w="609" w:type="pct"/>
            <w:shd w:val="clear" w:color="auto" w:fill="auto"/>
            <w:vAlign w:val="center"/>
          </w:tcPr>
          <w:p w:rsidR="00BD31B2" w:rsidRPr="00D173AE" w:rsidRDefault="00BD31B2" w:rsidP="000908CE">
            <w:pPr>
              <w:spacing w:line="280" w:lineRule="exact"/>
              <w:ind w:firstLineChars="0" w:firstLine="0"/>
              <w:rPr>
                <w:sz w:val="24"/>
                <w:szCs w:val="24"/>
              </w:rPr>
            </w:pPr>
            <w:r>
              <w:rPr>
                <w:rFonts w:hint="eastAsia"/>
                <w:sz w:val="24"/>
                <w:szCs w:val="24"/>
              </w:rPr>
              <w:t>2</w:t>
            </w:r>
            <w:r>
              <w:rPr>
                <w:sz w:val="24"/>
                <w:szCs w:val="24"/>
              </w:rPr>
              <w:t>022</w:t>
            </w:r>
            <w:r>
              <w:rPr>
                <w:rFonts w:hint="eastAsia"/>
                <w:sz w:val="24"/>
                <w:szCs w:val="24"/>
              </w:rPr>
              <w:t>年8月2</w:t>
            </w:r>
            <w:r>
              <w:rPr>
                <w:sz w:val="24"/>
                <w:szCs w:val="24"/>
              </w:rPr>
              <w:t>2</w:t>
            </w:r>
            <w:r>
              <w:rPr>
                <w:rFonts w:hint="eastAsia"/>
                <w:sz w:val="24"/>
                <w:szCs w:val="24"/>
              </w:rPr>
              <w:t>日</w:t>
            </w:r>
          </w:p>
        </w:tc>
        <w:tc>
          <w:tcPr>
            <w:tcW w:w="492" w:type="pct"/>
            <w:shd w:val="clear" w:color="auto" w:fill="auto"/>
            <w:vAlign w:val="center"/>
          </w:tcPr>
          <w:p w:rsidR="00BD31B2" w:rsidRPr="00D173AE" w:rsidRDefault="00BD31B2" w:rsidP="000908CE">
            <w:pPr>
              <w:spacing w:line="280" w:lineRule="exact"/>
              <w:ind w:firstLineChars="0" w:firstLine="0"/>
              <w:jc w:val="center"/>
              <w:rPr>
                <w:sz w:val="24"/>
                <w:szCs w:val="24"/>
              </w:rPr>
            </w:pPr>
            <w:r>
              <w:rPr>
                <w:rFonts w:hint="eastAsia"/>
                <w:sz w:val="24"/>
                <w:szCs w:val="24"/>
              </w:rPr>
              <w:t>国家矿山安全监察</w:t>
            </w:r>
            <w:r>
              <w:rPr>
                <w:rFonts w:hint="eastAsia"/>
                <w:sz w:val="24"/>
                <w:szCs w:val="24"/>
              </w:rPr>
              <w:lastRenderedPageBreak/>
              <w:t>局山东局</w:t>
            </w:r>
          </w:p>
        </w:tc>
        <w:tc>
          <w:tcPr>
            <w:tcW w:w="496" w:type="pct"/>
            <w:shd w:val="clear" w:color="auto" w:fill="auto"/>
            <w:vAlign w:val="center"/>
          </w:tcPr>
          <w:p w:rsidR="00BD31B2" w:rsidRPr="00D173AE" w:rsidRDefault="00BD31B2" w:rsidP="000908CE">
            <w:pPr>
              <w:spacing w:line="280" w:lineRule="exact"/>
              <w:ind w:firstLineChars="0" w:firstLine="0"/>
              <w:rPr>
                <w:sz w:val="24"/>
                <w:szCs w:val="24"/>
              </w:rPr>
            </w:pPr>
            <w:r w:rsidRPr="00C84FCE">
              <w:rPr>
                <w:rFonts w:hint="eastAsia"/>
                <w:sz w:val="24"/>
                <w:szCs w:val="24"/>
              </w:rPr>
              <w:lastRenderedPageBreak/>
              <w:t>李</w:t>
            </w:r>
            <w:r>
              <w:rPr>
                <w:rFonts w:hint="eastAsia"/>
                <w:sz w:val="24"/>
                <w:szCs w:val="24"/>
              </w:rPr>
              <w:t>某某</w:t>
            </w: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C84FCE">
              <w:rPr>
                <w:rFonts w:hint="eastAsia"/>
                <w:sz w:val="24"/>
                <w:szCs w:val="24"/>
              </w:rPr>
              <w:t>矿井密闭墙台账中记录的</w:t>
            </w:r>
            <w:r w:rsidRPr="00C84FCE">
              <w:rPr>
                <w:sz w:val="24"/>
                <w:szCs w:val="24"/>
              </w:rPr>
              <w:t>8403外运输巷风桥处设置的第M8-55#密闭墙是砖混结构，8月2</w:t>
            </w:r>
            <w:r w:rsidRPr="00C84FCE">
              <w:rPr>
                <w:sz w:val="24"/>
                <w:szCs w:val="24"/>
              </w:rPr>
              <w:lastRenderedPageBreak/>
              <w:t>日现场检查时发现该密闭墙是采用矸石袋垒设；2022年7月15日，矿井对8202-1进风巷掘进工作面进行了启封密闭且排放瓦斯，但7月份以来上报的《煤矿安全生产风险动态管控总体情况表》中没有包括该地点的启封密闭及排放瓦斯情况。矿井提供虚假材料、不能如实反映情况，不符合《煤矿安全监察条例》第三十二条的规定</w:t>
            </w:r>
            <w:r>
              <w:rPr>
                <w:rFonts w:hint="eastAsia"/>
                <w:sz w:val="24"/>
                <w:szCs w:val="24"/>
              </w:rPr>
              <w:t>。</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C84FCE">
              <w:rPr>
                <w:rFonts w:hint="eastAsia"/>
                <w:sz w:val="24"/>
                <w:szCs w:val="24"/>
              </w:rPr>
              <w:lastRenderedPageBreak/>
              <w:t>《煤矿安全监察条</w:t>
            </w:r>
            <w:r w:rsidRPr="00C84FCE">
              <w:rPr>
                <w:rFonts w:hint="eastAsia"/>
                <w:sz w:val="24"/>
                <w:szCs w:val="24"/>
              </w:rPr>
              <w:lastRenderedPageBreak/>
              <w:t>例》第四十五条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lastRenderedPageBreak/>
              <w:t>罚款人民币</w:t>
            </w:r>
            <w:r>
              <w:rPr>
                <w:rFonts w:hint="eastAsia"/>
                <w:sz w:val="24"/>
                <w:szCs w:val="24"/>
              </w:rPr>
              <w:t>二</w:t>
            </w:r>
            <w:r w:rsidRPr="00D173AE">
              <w:rPr>
                <w:rFonts w:hint="eastAsia"/>
                <w:sz w:val="24"/>
                <w:szCs w:val="24"/>
              </w:rPr>
              <w:t xml:space="preserve">万元 </w:t>
            </w:r>
            <w:r w:rsidRPr="00D173AE">
              <w:rPr>
                <w:rFonts w:hint="eastAsia"/>
                <w:sz w:val="24"/>
                <w:szCs w:val="24"/>
              </w:rPr>
              <w:lastRenderedPageBreak/>
              <w:t>整</w:t>
            </w:r>
          </w:p>
        </w:tc>
      </w:tr>
      <w:tr w:rsidR="00BD31B2" w:rsidRPr="00D173AE" w:rsidTr="009F12C0">
        <w:trPr>
          <w:trHeight w:val="90"/>
        </w:trPr>
        <w:tc>
          <w:tcPr>
            <w:tcW w:w="454" w:type="pct"/>
            <w:shd w:val="clear" w:color="auto" w:fill="auto"/>
            <w:vAlign w:val="center"/>
          </w:tcPr>
          <w:p w:rsidR="00BD31B2" w:rsidRPr="00D173AE" w:rsidRDefault="00BD31B2" w:rsidP="000908CE">
            <w:pPr>
              <w:spacing w:line="280" w:lineRule="exact"/>
              <w:ind w:firstLineChars="0" w:firstLine="0"/>
              <w:rPr>
                <w:sz w:val="24"/>
                <w:szCs w:val="24"/>
              </w:rPr>
            </w:pPr>
            <w:r>
              <w:rPr>
                <w:sz w:val="24"/>
                <w:szCs w:val="24"/>
              </w:rPr>
              <w:lastRenderedPageBreak/>
              <w:t>3</w:t>
            </w:r>
          </w:p>
        </w:tc>
        <w:tc>
          <w:tcPr>
            <w:tcW w:w="609" w:type="pct"/>
            <w:shd w:val="clear" w:color="auto" w:fill="auto"/>
            <w:vAlign w:val="center"/>
          </w:tcPr>
          <w:p w:rsidR="00BD31B2" w:rsidRPr="00D173AE" w:rsidRDefault="00BD31B2" w:rsidP="000908CE">
            <w:pPr>
              <w:spacing w:line="280" w:lineRule="exact"/>
              <w:ind w:firstLineChars="0" w:firstLine="0"/>
              <w:rPr>
                <w:sz w:val="24"/>
                <w:szCs w:val="24"/>
              </w:rPr>
            </w:pPr>
            <w:r>
              <w:rPr>
                <w:rFonts w:hint="eastAsia"/>
                <w:sz w:val="24"/>
                <w:szCs w:val="24"/>
              </w:rPr>
              <w:t>2</w:t>
            </w:r>
            <w:r>
              <w:rPr>
                <w:sz w:val="24"/>
                <w:szCs w:val="24"/>
              </w:rPr>
              <w:t>022</w:t>
            </w:r>
            <w:r>
              <w:rPr>
                <w:rFonts w:hint="eastAsia"/>
                <w:sz w:val="24"/>
                <w:szCs w:val="24"/>
              </w:rPr>
              <w:t>年8月2</w:t>
            </w:r>
            <w:r>
              <w:rPr>
                <w:sz w:val="24"/>
                <w:szCs w:val="24"/>
              </w:rPr>
              <w:t>2</w:t>
            </w:r>
            <w:r>
              <w:rPr>
                <w:rFonts w:hint="eastAsia"/>
                <w:sz w:val="24"/>
                <w:szCs w:val="24"/>
              </w:rPr>
              <w:t>日</w:t>
            </w:r>
          </w:p>
        </w:tc>
        <w:tc>
          <w:tcPr>
            <w:tcW w:w="492" w:type="pct"/>
            <w:shd w:val="clear" w:color="auto" w:fill="auto"/>
            <w:vAlign w:val="center"/>
          </w:tcPr>
          <w:p w:rsidR="00BD31B2" w:rsidRPr="00D173AE" w:rsidRDefault="00BD31B2" w:rsidP="000908CE">
            <w:pPr>
              <w:spacing w:line="280" w:lineRule="exact"/>
              <w:ind w:firstLineChars="0" w:firstLine="0"/>
              <w:jc w:val="center"/>
              <w:rPr>
                <w:sz w:val="24"/>
                <w:szCs w:val="24"/>
              </w:rPr>
            </w:pPr>
            <w:r>
              <w:rPr>
                <w:rFonts w:hint="eastAsia"/>
                <w:sz w:val="24"/>
                <w:szCs w:val="24"/>
              </w:rPr>
              <w:t>国家矿山安全监察局山东局</w:t>
            </w:r>
          </w:p>
        </w:tc>
        <w:tc>
          <w:tcPr>
            <w:tcW w:w="496" w:type="pct"/>
            <w:shd w:val="clear" w:color="auto" w:fill="auto"/>
            <w:vAlign w:val="center"/>
          </w:tcPr>
          <w:p w:rsidR="00BD31B2" w:rsidRPr="00D173AE" w:rsidRDefault="00BD31B2" w:rsidP="000908CE">
            <w:pPr>
              <w:spacing w:line="280" w:lineRule="exact"/>
              <w:ind w:firstLineChars="0" w:firstLine="0"/>
              <w:rPr>
                <w:sz w:val="24"/>
                <w:szCs w:val="24"/>
              </w:rPr>
            </w:pPr>
            <w:r>
              <w:rPr>
                <w:rFonts w:hint="eastAsia"/>
                <w:sz w:val="24"/>
                <w:szCs w:val="24"/>
              </w:rPr>
              <w:t>刘某某</w:t>
            </w:r>
          </w:p>
        </w:tc>
        <w:tc>
          <w:tcPr>
            <w:tcW w:w="1938" w:type="pct"/>
            <w:shd w:val="clear" w:color="auto" w:fill="auto"/>
            <w:vAlign w:val="center"/>
          </w:tcPr>
          <w:p w:rsidR="00BD31B2" w:rsidRPr="00D173AE" w:rsidRDefault="00BD31B2" w:rsidP="000908CE">
            <w:pPr>
              <w:spacing w:line="280" w:lineRule="exact"/>
              <w:ind w:firstLineChars="0" w:firstLine="0"/>
              <w:rPr>
                <w:sz w:val="24"/>
                <w:szCs w:val="24"/>
              </w:rPr>
            </w:pPr>
            <w:r w:rsidRPr="00C84FCE">
              <w:rPr>
                <w:rFonts w:hint="eastAsia"/>
                <w:sz w:val="24"/>
                <w:szCs w:val="24"/>
              </w:rPr>
              <w:t>矿井密闭墙台账中记录的</w:t>
            </w:r>
            <w:r w:rsidRPr="00C84FCE">
              <w:rPr>
                <w:sz w:val="24"/>
                <w:szCs w:val="24"/>
              </w:rPr>
              <w:t>8403外运输巷风桥处设置的第M8-55#密闭墙是砖混结构，8月2日现场检查时发现该密闭墙是采用矸石袋垒设；2022年7月15日，矿井对8202-1进风巷掘进工作面进行了启封密闭且排放瓦斯，但7月份以来上报的《煤矿安全生产风险动态管控总体情况表》中没有包括该地点的启封密闭及排放瓦斯情况。矿井提供虚假材料、不能如实反映情况，不符合《煤矿安全监察条例》第三十二条的规定</w:t>
            </w:r>
            <w:r>
              <w:rPr>
                <w:rFonts w:hint="eastAsia"/>
                <w:sz w:val="24"/>
                <w:szCs w:val="24"/>
              </w:rPr>
              <w:t>。</w:t>
            </w:r>
          </w:p>
        </w:tc>
        <w:tc>
          <w:tcPr>
            <w:tcW w:w="541" w:type="pct"/>
            <w:shd w:val="clear" w:color="auto" w:fill="auto"/>
            <w:vAlign w:val="center"/>
          </w:tcPr>
          <w:p w:rsidR="00BD31B2" w:rsidRPr="00D173AE" w:rsidRDefault="00BD31B2" w:rsidP="000908CE">
            <w:pPr>
              <w:spacing w:line="280" w:lineRule="exact"/>
              <w:ind w:firstLineChars="0" w:firstLine="0"/>
              <w:rPr>
                <w:sz w:val="24"/>
                <w:szCs w:val="24"/>
              </w:rPr>
            </w:pPr>
            <w:r w:rsidRPr="00C84FCE">
              <w:rPr>
                <w:rFonts w:hint="eastAsia"/>
                <w:sz w:val="24"/>
                <w:szCs w:val="24"/>
              </w:rPr>
              <w:t>《煤矿安全监察条例》第四十五条</w:t>
            </w:r>
          </w:p>
        </w:tc>
        <w:tc>
          <w:tcPr>
            <w:tcW w:w="470" w:type="pct"/>
            <w:shd w:val="clear" w:color="auto" w:fill="auto"/>
            <w:vAlign w:val="center"/>
          </w:tcPr>
          <w:p w:rsidR="00BD31B2" w:rsidRPr="00D173AE" w:rsidRDefault="00BD31B2" w:rsidP="000908CE">
            <w:pPr>
              <w:spacing w:line="280" w:lineRule="exact"/>
              <w:ind w:firstLineChars="0" w:firstLine="0"/>
              <w:rPr>
                <w:sz w:val="24"/>
                <w:szCs w:val="24"/>
              </w:rPr>
            </w:pPr>
            <w:r w:rsidRPr="00D173AE">
              <w:rPr>
                <w:rFonts w:hint="eastAsia"/>
                <w:sz w:val="24"/>
                <w:szCs w:val="24"/>
              </w:rPr>
              <w:t>罚款人民币</w:t>
            </w:r>
            <w:r>
              <w:rPr>
                <w:rFonts w:hint="eastAsia"/>
                <w:sz w:val="24"/>
                <w:szCs w:val="24"/>
              </w:rPr>
              <w:t>二</w:t>
            </w:r>
            <w:r w:rsidRPr="00D173AE">
              <w:rPr>
                <w:rFonts w:hint="eastAsia"/>
                <w:sz w:val="24"/>
                <w:szCs w:val="24"/>
              </w:rPr>
              <w:t>万元 整</w:t>
            </w:r>
          </w:p>
        </w:tc>
      </w:tr>
    </w:tbl>
    <w:p w:rsidR="00BD31B2" w:rsidRDefault="00BD31B2">
      <w:pPr>
        <w:spacing w:line="600" w:lineRule="exact"/>
        <w:ind w:firstLine="632"/>
        <w:jc w:val="center"/>
        <w:rPr>
          <w:rFonts w:ascii="方正小标宋简体" w:eastAsia="方正小标宋简体"/>
        </w:rPr>
      </w:pPr>
    </w:p>
    <w:p w:rsidR="00BC71B2" w:rsidRDefault="00BC71B2" w:rsidP="000908CE">
      <w:pPr>
        <w:ind w:firstLineChars="0" w:firstLine="0"/>
      </w:pPr>
    </w:p>
    <w:sectPr w:rsidR="00BC71B2" w:rsidSect="007B0A5D">
      <w:pgSz w:w="16839" w:h="11907" w:orient="landscape" w:code="9"/>
      <w:pgMar w:top="1588" w:right="2098" w:bottom="1474" w:left="1985" w:header="851" w:footer="851"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B2"/>
    <w:rsid w:val="000908CE"/>
    <w:rsid w:val="000C230E"/>
    <w:rsid w:val="003F675E"/>
    <w:rsid w:val="00417DB5"/>
    <w:rsid w:val="00432A51"/>
    <w:rsid w:val="00585F91"/>
    <w:rsid w:val="00591BF1"/>
    <w:rsid w:val="00595DEC"/>
    <w:rsid w:val="005E2AA2"/>
    <w:rsid w:val="005F3F74"/>
    <w:rsid w:val="00752AB1"/>
    <w:rsid w:val="007B0A5D"/>
    <w:rsid w:val="00875B52"/>
    <w:rsid w:val="00B933CD"/>
    <w:rsid w:val="00BB54C5"/>
    <w:rsid w:val="00BC71B2"/>
    <w:rsid w:val="00BD31B2"/>
    <w:rsid w:val="00C32B9A"/>
    <w:rsid w:val="00C75C2E"/>
    <w:rsid w:val="00C83940"/>
    <w:rsid w:val="00D31444"/>
    <w:rsid w:val="00FE3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FBE6-0024-4A9E-9D4D-8165FC86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华文仿宋" w:cs="Times New Roman"/>
        <w:kern w:val="2"/>
        <w:sz w:val="32"/>
        <w:szCs w:val="3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C2E"/>
    <w:pPr>
      <w:widowControl w:val="0"/>
    </w:pPr>
  </w:style>
  <w:style w:type="paragraph" w:styleId="1">
    <w:name w:val="heading 1"/>
    <w:basedOn w:val="a"/>
    <w:next w:val="a"/>
    <w:link w:val="10"/>
    <w:uiPriority w:val="9"/>
    <w:qFormat/>
    <w:rsid w:val="00C75C2E"/>
    <w:pPr>
      <w:keepNext/>
      <w:outlineLvl w:val="0"/>
    </w:pPr>
    <w:rPr>
      <w:rFonts w:eastAsia="黑体"/>
      <w:bCs/>
      <w:kern w:val="44"/>
      <w:szCs w:val="44"/>
    </w:rPr>
  </w:style>
  <w:style w:type="paragraph" w:styleId="2">
    <w:name w:val="heading 2"/>
    <w:basedOn w:val="a"/>
    <w:next w:val="a"/>
    <w:link w:val="20"/>
    <w:uiPriority w:val="9"/>
    <w:semiHidden/>
    <w:unhideWhenUsed/>
    <w:qFormat/>
    <w:rsid w:val="00C75C2E"/>
    <w:pPr>
      <w:keepNext/>
      <w:outlineLvl w:val="1"/>
    </w:pPr>
    <w:rPr>
      <w:rFonts w:ascii="楷体" w:eastAsia="楷体" w:hAnsiTheme="majorHAnsi" w:cstheme="majorBidi"/>
      <w:bCs/>
    </w:rPr>
  </w:style>
  <w:style w:type="paragraph" w:styleId="3">
    <w:name w:val="heading 3"/>
    <w:basedOn w:val="a"/>
    <w:next w:val="a"/>
    <w:link w:val="30"/>
    <w:uiPriority w:val="9"/>
    <w:semiHidden/>
    <w:unhideWhenUsed/>
    <w:qFormat/>
    <w:rsid w:val="00C75C2E"/>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C2E"/>
    <w:rPr>
      <w:rFonts w:eastAsia="黑体"/>
      <w:bCs/>
      <w:kern w:val="44"/>
      <w:szCs w:val="44"/>
    </w:rPr>
  </w:style>
  <w:style w:type="character" w:customStyle="1" w:styleId="20">
    <w:name w:val="标题 2 字符"/>
    <w:basedOn w:val="a0"/>
    <w:link w:val="2"/>
    <w:uiPriority w:val="9"/>
    <w:semiHidden/>
    <w:rsid w:val="00C75C2E"/>
    <w:rPr>
      <w:rFonts w:ascii="楷体" w:eastAsia="楷体" w:hAnsiTheme="majorHAnsi" w:cstheme="majorBidi"/>
      <w:bCs/>
    </w:rPr>
  </w:style>
  <w:style w:type="paragraph" w:styleId="a3">
    <w:name w:val="Title"/>
    <w:basedOn w:val="a"/>
    <w:next w:val="a"/>
    <w:link w:val="a4"/>
    <w:uiPriority w:val="10"/>
    <w:qFormat/>
    <w:rsid w:val="00C75C2E"/>
    <w:pPr>
      <w:spacing w:line="680" w:lineRule="exact"/>
      <w:ind w:firstLineChars="0" w:firstLine="0"/>
      <w:jc w:val="center"/>
      <w:outlineLvl w:val="0"/>
    </w:pPr>
    <w:rPr>
      <w:rFonts w:ascii="方正小标宋简体" w:eastAsia="方正小标宋简体" w:hAnsiTheme="majorHAnsi" w:cstheme="majorBidi"/>
      <w:bCs/>
      <w:sz w:val="44"/>
    </w:rPr>
  </w:style>
  <w:style w:type="character" w:customStyle="1" w:styleId="a4">
    <w:name w:val="标题 字符"/>
    <w:basedOn w:val="a0"/>
    <w:link w:val="a3"/>
    <w:uiPriority w:val="10"/>
    <w:rsid w:val="00C75C2E"/>
    <w:rPr>
      <w:rFonts w:ascii="方正小标宋简体" w:eastAsia="方正小标宋简体" w:hAnsiTheme="majorHAnsi" w:cstheme="majorBidi"/>
      <w:bCs/>
      <w:sz w:val="44"/>
    </w:rPr>
  </w:style>
  <w:style w:type="character" w:customStyle="1" w:styleId="30">
    <w:name w:val="标题 3 字符"/>
    <w:basedOn w:val="a0"/>
    <w:link w:val="3"/>
    <w:uiPriority w:val="9"/>
    <w:semiHidden/>
    <w:rsid w:val="00C75C2E"/>
    <w:rPr>
      <w:b/>
      <w:bCs/>
    </w:rPr>
  </w:style>
  <w:style w:type="paragraph" w:styleId="a5">
    <w:name w:val="Balloon Text"/>
    <w:basedOn w:val="a"/>
    <w:link w:val="a6"/>
    <w:uiPriority w:val="99"/>
    <w:semiHidden/>
    <w:unhideWhenUsed/>
    <w:rsid w:val="00BB54C5"/>
    <w:pPr>
      <w:spacing w:line="240" w:lineRule="auto"/>
    </w:pPr>
    <w:rPr>
      <w:sz w:val="18"/>
      <w:szCs w:val="18"/>
    </w:rPr>
  </w:style>
  <w:style w:type="character" w:customStyle="1" w:styleId="a6">
    <w:name w:val="批注框文本 字符"/>
    <w:basedOn w:val="a0"/>
    <w:link w:val="a5"/>
    <w:uiPriority w:val="99"/>
    <w:semiHidden/>
    <w:rsid w:val="00BB54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韩敬涛</dc:creator>
  <cp:keywords/>
  <dc:description/>
  <cp:lastModifiedBy>李澎</cp:lastModifiedBy>
  <cp:revision>4</cp:revision>
  <dcterms:created xsi:type="dcterms:W3CDTF">2022-08-24T08:18:00Z</dcterms:created>
  <dcterms:modified xsi:type="dcterms:W3CDTF">2022-08-26T01:06:00Z</dcterms:modified>
</cp:coreProperties>
</file>