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280" w:rsidRPr="00E004DD" w:rsidRDefault="00AF5280" w:rsidP="00AF5280">
      <w:pPr>
        <w:spacing w:line="600" w:lineRule="exact"/>
        <w:jc w:val="left"/>
        <w:rPr>
          <w:rFonts w:ascii="仿宋_GB2312" w:hAnsi="等线" w:cs="Times New Roman"/>
          <w:szCs w:val="32"/>
        </w:rPr>
      </w:pPr>
      <w:r w:rsidRPr="00E004DD">
        <w:rPr>
          <w:rFonts w:ascii="仿宋_GB2312" w:hAnsi="等线" w:cs="Times New Roman" w:hint="eastAsia"/>
          <w:szCs w:val="32"/>
        </w:rPr>
        <w:t>附件</w:t>
      </w:r>
    </w:p>
    <w:p w:rsidR="00AF5280" w:rsidRPr="00E004DD" w:rsidRDefault="00AF5280" w:rsidP="00AF5280">
      <w:pPr>
        <w:spacing w:line="600" w:lineRule="exact"/>
        <w:jc w:val="center"/>
        <w:rPr>
          <w:rFonts w:ascii="方正小标宋简体" w:eastAsia="方正小标宋简体" w:hAnsi="等线" w:cs="Times New Roman"/>
          <w:szCs w:val="32"/>
        </w:rPr>
      </w:pPr>
      <w:bookmarkStart w:id="0" w:name="_GoBack"/>
      <w:r>
        <w:rPr>
          <w:rFonts w:ascii="方正小标宋简体" w:eastAsia="方正小标宋简体" w:hAnsi="等线" w:cs="Times New Roman" w:hint="eastAsia"/>
          <w:szCs w:val="32"/>
        </w:rPr>
        <w:t>监察</w:t>
      </w:r>
      <w:r w:rsidRPr="00E004DD">
        <w:rPr>
          <w:rFonts w:ascii="方正小标宋简体" w:eastAsia="方正小标宋简体" w:hAnsi="等线" w:cs="Times New Roman" w:hint="eastAsia"/>
          <w:szCs w:val="32"/>
        </w:rPr>
        <w:t>执法</w:t>
      </w:r>
      <w:r>
        <w:rPr>
          <w:rFonts w:ascii="方正小标宋简体" w:eastAsia="方正小标宋简体" w:hAnsi="等线" w:cs="Times New Roman" w:hint="eastAsia"/>
          <w:szCs w:val="32"/>
        </w:rPr>
        <w:t>三</w:t>
      </w:r>
      <w:r w:rsidRPr="00E004DD">
        <w:rPr>
          <w:rFonts w:ascii="方正小标宋简体" w:eastAsia="方正小标宋简体" w:hAnsi="等线" w:cs="Times New Roman" w:hint="eastAsia"/>
          <w:szCs w:val="32"/>
        </w:rPr>
        <w:t>处2022年第</w:t>
      </w:r>
      <w:r>
        <w:rPr>
          <w:rFonts w:ascii="方正小标宋简体" w:eastAsia="方正小标宋简体" w:hAnsi="等线" w:cs="Times New Roman" w:hint="eastAsia"/>
          <w:szCs w:val="32"/>
        </w:rPr>
        <w:t>7</w:t>
      </w:r>
      <w:r w:rsidRPr="00E004DD">
        <w:rPr>
          <w:rFonts w:ascii="方正小标宋简体" w:eastAsia="方正小标宋简体" w:hAnsi="等线" w:cs="Times New Roman" w:hint="eastAsia"/>
          <w:szCs w:val="32"/>
        </w:rPr>
        <w:t>批行政处罚信息公开表</w:t>
      </w:r>
    </w:p>
    <w:bookmarkEnd w:id="0"/>
    <w:p w:rsidR="00AF5280" w:rsidRPr="00BC1BC6" w:rsidRDefault="00AF5280" w:rsidP="00AF5280"/>
    <w:tbl>
      <w:tblPr>
        <w:tblStyle w:val="a7"/>
        <w:tblW w:w="4866" w:type="pct"/>
        <w:tblLayout w:type="fixed"/>
        <w:tblLook w:val="04A0" w:firstRow="1" w:lastRow="0" w:firstColumn="1" w:lastColumn="0" w:noHBand="0" w:noVBand="1"/>
      </w:tblPr>
      <w:tblGrid>
        <w:gridCol w:w="418"/>
        <w:gridCol w:w="672"/>
        <w:gridCol w:w="704"/>
        <w:gridCol w:w="799"/>
        <w:gridCol w:w="3115"/>
        <w:gridCol w:w="957"/>
        <w:gridCol w:w="1409"/>
      </w:tblGrid>
      <w:tr w:rsidR="00AF5280" w:rsidTr="00AC2A64">
        <w:tc>
          <w:tcPr>
            <w:tcW w:w="424"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560" w:lineRule="exact"/>
              <w:rPr>
                <w:rFonts w:ascii="等线" w:eastAsia="等线" w:hAnsi="等线"/>
                <w:b/>
                <w:sz w:val="21"/>
                <w:szCs w:val="21"/>
              </w:rPr>
            </w:pPr>
            <w:r>
              <w:rPr>
                <w:rFonts w:ascii="等线" w:eastAsia="等线" w:hAnsi="等线" w:hint="eastAsia"/>
                <w:b/>
                <w:sz w:val="20"/>
                <w:szCs w:val="21"/>
              </w:rPr>
              <w:t>序号</w:t>
            </w:r>
          </w:p>
        </w:tc>
        <w:tc>
          <w:tcPr>
            <w:tcW w:w="687"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560" w:lineRule="exact"/>
              <w:rPr>
                <w:rFonts w:ascii="等线" w:eastAsia="等线" w:hAnsi="等线"/>
                <w:b/>
                <w:sz w:val="20"/>
                <w:szCs w:val="21"/>
              </w:rPr>
            </w:pPr>
            <w:r>
              <w:rPr>
                <w:rFonts w:ascii="等线" w:eastAsia="等线" w:hAnsi="等线" w:hint="eastAsia"/>
                <w:b/>
                <w:sz w:val="20"/>
                <w:szCs w:val="21"/>
              </w:rPr>
              <w:t>执法决定日期</w:t>
            </w:r>
          </w:p>
        </w:tc>
        <w:tc>
          <w:tcPr>
            <w:tcW w:w="720"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560" w:lineRule="exact"/>
              <w:rPr>
                <w:rFonts w:ascii="等线" w:eastAsia="等线" w:hAnsi="等线"/>
                <w:b/>
                <w:sz w:val="20"/>
                <w:szCs w:val="21"/>
              </w:rPr>
            </w:pPr>
            <w:r>
              <w:rPr>
                <w:rFonts w:ascii="等线" w:eastAsia="等线" w:hAnsi="等线" w:hint="eastAsia"/>
                <w:b/>
                <w:sz w:val="20"/>
                <w:szCs w:val="21"/>
              </w:rPr>
              <w:t>执法主体</w:t>
            </w:r>
          </w:p>
        </w:tc>
        <w:tc>
          <w:tcPr>
            <w:tcW w:w="818"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560" w:lineRule="exact"/>
              <w:rPr>
                <w:rFonts w:ascii="等线" w:eastAsia="等线" w:hAnsi="等线"/>
                <w:b/>
                <w:sz w:val="20"/>
                <w:szCs w:val="21"/>
              </w:rPr>
            </w:pPr>
            <w:r>
              <w:rPr>
                <w:rFonts w:ascii="等线" w:eastAsia="等线" w:hAnsi="等线" w:hint="eastAsia"/>
                <w:b/>
                <w:sz w:val="20"/>
                <w:szCs w:val="21"/>
              </w:rPr>
              <w:t>执法对象</w:t>
            </w:r>
          </w:p>
        </w:tc>
        <w:tc>
          <w:tcPr>
            <w:tcW w:w="3214"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560" w:lineRule="exact"/>
              <w:jc w:val="center"/>
              <w:rPr>
                <w:rFonts w:ascii="等线" w:eastAsia="等线" w:hAnsi="等线"/>
                <w:b/>
                <w:sz w:val="20"/>
                <w:szCs w:val="21"/>
              </w:rPr>
            </w:pPr>
            <w:r>
              <w:rPr>
                <w:rFonts w:ascii="等线" w:eastAsia="等线" w:hAnsi="等线" w:hint="eastAsia"/>
                <w:b/>
                <w:sz w:val="20"/>
                <w:szCs w:val="21"/>
              </w:rPr>
              <w:t>违法事实</w:t>
            </w:r>
          </w:p>
        </w:tc>
        <w:tc>
          <w:tcPr>
            <w:tcW w:w="982"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560" w:lineRule="exact"/>
              <w:rPr>
                <w:rFonts w:ascii="等线" w:eastAsia="等线" w:hAnsi="等线"/>
                <w:b/>
                <w:sz w:val="20"/>
                <w:szCs w:val="21"/>
              </w:rPr>
            </w:pPr>
            <w:r>
              <w:rPr>
                <w:rFonts w:ascii="等线" w:eastAsia="等线" w:hAnsi="等线" w:hint="eastAsia"/>
                <w:b/>
                <w:sz w:val="20"/>
                <w:szCs w:val="21"/>
              </w:rPr>
              <w:t>处罚依据</w:t>
            </w:r>
          </w:p>
        </w:tc>
        <w:tc>
          <w:tcPr>
            <w:tcW w:w="1449"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560" w:lineRule="exact"/>
              <w:rPr>
                <w:rFonts w:ascii="等线" w:eastAsia="等线" w:hAnsi="等线"/>
                <w:b/>
                <w:sz w:val="20"/>
                <w:szCs w:val="21"/>
              </w:rPr>
            </w:pPr>
            <w:r>
              <w:rPr>
                <w:rFonts w:ascii="等线" w:eastAsia="等线" w:hAnsi="等线" w:hint="eastAsia"/>
                <w:b/>
                <w:sz w:val="20"/>
                <w:szCs w:val="21"/>
              </w:rPr>
              <w:t>处罚内容</w:t>
            </w:r>
          </w:p>
        </w:tc>
      </w:tr>
      <w:tr w:rsidR="00AF5280" w:rsidTr="00AC2A64">
        <w:tc>
          <w:tcPr>
            <w:tcW w:w="424"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560" w:lineRule="exact"/>
              <w:rPr>
                <w:rFonts w:ascii="仿宋_GB2312" w:hAnsi="等线"/>
                <w:sz w:val="20"/>
                <w:szCs w:val="21"/>
              </w:rPr>
            </w:pPr>
            <w:r>
              <w:rPr>
                <w:rFonts w:ascii="仿宋_GB2312" w:hAnsi="等线" w:hint="eastAsia"/>
                <w:sz w:val="20"/>
                <w:szCs w:val="21"/>
              </w:rPr>
              <w:t>1</w:t>
            </w:r>
          </w:p>
        </w:tc>
        <w:tc>
          <w:tcPr>
            <w:tcW w:w="687"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2022年7月20日</w:t>
            </w:r>
          </w:p>
        </w:tc>
        <w:tc>
          <w:tcPr>
            <w:tcW w:w="720"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山东济宁运河煤矿有限责任公司</w:t>
            </w:r>
          </w:p>
        </w:tc>
        <w:tc>
          <w:tcPr>
            <w:tcW w:w="3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1.C8302皮带顺槽掘进工作面沿8301工作面采空区掘进，采用限压循环放水方式探放采空区积水，迎头1个探放水孔的放水控制阀门漏水，不符合《C8302皮带顺槽探放8301老空水安全技术措施》“探放水孔的放水控制阀门应保证完好”的规定；2.矿井未在-490m西翼回风巷设立测风站并进行测风，不符合《煤矿安全规程》第一百四十条第一款的规定。</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《中华人民共和国安全生产法》第一百零二条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罚款人民币二万元整</w:t>
            </w:r>
          </w:p>
        </w:tc>
      </w:tr>
      <w:tr w:rsidR="00AF5280" w:rsidTr="00AC2A64">
        <w:tc>
          <w:tcPr>
            <w:tcW w:w="424"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560" w:lineRule="exact"/>
              <w:rPr>
                <w:rFonts w:ascii="仿宋_GB2312" w:hAnsi="等线"/>
                <w:sz w:val="20"/>
                <w:szCs w:val="21"/>
              </w:rPr>
            </w:pPr>
            <w:r>
              <w:rPr>
                <w:rFonts w:ascii="仿宋_GB2312" w:hAnsi="等线" w:hint="eastAsia"/>
                <w:sz w:val="20"/>
                <w:szCs w:val="21"/>
              </w:rPr>
              <w:t>2</w:t>
            </w:r>
          </w:p>
        </w:tc>
        <w:tc>
          <w:tcPr>
            <w:tcW w:w="687"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2022年7月20日</w:t>
            </w:r>
          </w:p>
        </w:tc>
        <w:tc>
          <w:tcPr>
            <w:tcW w:w="720"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山东济宁运河煤矿有限责任公司</w:t>
            </w:r>
          </w:p>
        </w:tc>
        <w:tc>
          <w:tcPr>
            <w:tcW w:w="3214"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1.C8302轨道顺槽掘进工作面贯通点后方第一组与第二组U型钢棚间距30m，不符合《C8302轨道顺槽掘进工作面作业规程》中“U型钢棚间距10m"的规定；2.7308综放工作面采用垮落法管理顶板，进风隅角位置老塘顶板悬顶面积超过的20m2，未及时处理,不符合《7308综放工作面作业规程》中“老塘顶板悬顶面积不超过的20m2”的规定；3.7308综放工作面第18#、19#综采液压支架顶梁未接实顶板，煤壁侧片帮，端面距超过500mm，不符合《7308综放工作面作业规程》中“端面距不大于300mm”的规定。</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《中华人民共和国矿山安全法实施条例》第五十四条</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罚款人民币二万元整</w:t>
            </w:r>
          </w:p>
        </w:tc>
      </w:tr>
      <w:tr w:rsidR="00AF5280" w:rsidTr="00AC2A64">
        <w:tc>
          <w:tcPr>
            <w:tcW w:w="424"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560" w:lineRule="exact"/>
              <w:rPr>
                <w:rFonts w:ascii="仿宋_GB2312" w:hAnsi="等线"/>
                <w:sz w:val="20"/>
                <w:szCs w:val="21"/>
              </w:rPr>
            </w:pPr>
            <w:r>
              <w:rPr>
                <w:rFonts w:ascii="仿宋_GB2312" w:hAnsi="等线" w:hint="eastAsia"/>
                <w:sz w:val="20"/>
                <w:szCs w:val="21"/>
              </w:rPr>
              <w:t>3</w:t>
            </w:r>
          </w:p>
        </w:tc>
        <w:tc>
          <w:tcPr>
            <w:tcW w:w="687"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2022年7月20日</w:t>
            </w:r>
          </w:p>
        </w:tc>
        <w:tc>
          <w:tcPr>
            <w:tcW w:w="720"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山东济宁运河煤矿有限责任公司</w:t>
            </w:r>
          </w:p>
        </w:tc>
        <w:tc>
          <w:tcPr>
            <w:tcW w:w="3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1.C8302轨道顺槽掘进工作面贯通点后方第一组应力在线监测系统浅孔应力计损坏未及时维护，不符合《中华人民共和国安全生产法》第三十六条第二款的规定；2.现场对7308综放工作面回风T2甲烷传感器用标准气样进行断电功能检查试验时，监测工携带的甲烷标准气样储气罐空气瓶压力表损坏，未及时检查维修，不符合《中华人民共和国安全生产法》第三十六条第二款的规定。</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《中华人民共和国安全生产法》第九十九条第三项</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罚款人民币二万元整</w:t>
            </w:r>
          </w:p>
        </w:tc>
      </w:tr>
      <w:tr w:rsidR="00AF5280" w:rsidTr="00AC2A64">
        <w:tc>
          <w:tcPr>
            <w:tcW w:w="424"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560" w:lineRule="exact"/>
              <w:rPr>
                <w:rFonts w:ascii="仿宋_GB2312" w:hAnsi="等线"/>
                <w:sz w:val="20"/>
                <w:szCs w:val="21"/>
              </w:rPr>
            </w:pPr>
            <w:r>
              <w:rPr>
                <w:rFonts w:ascii="仿宋_GB2312" w:hAnsi="等线" w:hint="eastAsia"/>
                <w:sz w:val="20"/>
                <w:szCs w:val="21"/>
              </w:rPr>
              <w:t>4</w:t>
            </w:r>
          </w:p>
        </w:tc>
        <w:tc>
          <w:tcPr>
            <w:tcW w:w="687"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2022年7月20日</w:t>
            </w:r>
          </w:p>
        </w:tc>
        <w:tc>
          <w:tcPr>
            <w:tcW w:w="720"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国家矿山安全监察</w:t>
            </w:r>
            <w:r>
              <w:rPr>
                <w:rFonts w:ascii="仿宋_GB2312" w:hAnsi="等线" w:hint="eastAsia"/>
                <w:sz w:val="20"/>
                <w:szCs w:val="21"/>
              </w:rPr>
              <w:lastRenderedPageBreak/>
              <w:t>局山东局</w:t>
            </w:r>
          </w:p>
        </w:tc>
        <w:tc>
          <w:tcPr>
            <w:tcW w:w="818"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lastRenderedPageBreak/>
              <w:t>山东济宁运河煤矿</w:t>
            </w:r>
            <w:r>
              <w:rPr>
                <w:rFonts w:ascii="仿宋_GB2312" w:hAnsi="等线" w:hint="eastAsia"/>
                <w:sz w:val="20"/>
                <w:szCs w:val="21"/>
              </w:rPr>
              <w:lastRenderedPageBreak/>
              <w:t>有限责任公司</w:t>
            </w:r>
          </w:p>
        </w:tc>
        <w:tc>
          <w:tcPr>
            <w:tcW w:w="3214" w:type="dxa"/>
          </w:tcPr>
          <w:p w:rsidR="00AF5280" w:rsidRDefault="00AF5280" w:rsidP="00AC2A64">
            <w:pPr>
              <w:spacing w:line="240" w:lineRule="exact"/>
              <w:rPr>
                <w:rFonts w:ascii="仿宋_GB2312" w:hAnsi="等线"/>
                <w:sz w:val="20"/>
                <w:szCs w:val="21"/>
              </w:rPr>
            </w:pPr>
            <w:r>
              <w:rPr>
                <w:rFonts w:ascii="仿宋_GB2312" w:hAnsi="等线" w:hint="eastAsia"/>
                <w:sz w:val="20"/>
                <w:szCs w:val="21"/>
              </w:rPr>
              <w:lastRenderedPageBreak/>
              <w:t>1.-490m西翼胶带运输巷测风站风速为0.21m/s，低于允许最低风速（0.25m/s）的要求，不符合《煤矿安全规程》第一百三十六条第</w:t>
            </w:r>
            <w:r>
              <w:rPr>
                <w:rFonts w:ascii="仿宋_GB2312" w:hAnsi="等线" w:hint="eastAsia"/>
                <w:sz w:val="20"/>
                <w:szCs w:val="21"/>
              </w:rPr>
              <w:lastRenderedPageBreak/>
              <w:t>一款的规定。</w:t>
            </w:r>
          </w:p>
        </w:tc>
        <w:tc>
          <w:tcPr>
            <w:tcW w:w="982"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lastRenderedPageBreak/>
              <w:t>《中华人民共和国矿山安全</w:t>
            </w:r>
            <w:r>
              <w:rPr>
                <w:rFonts w:ascii="仿宋_GB2312" w:hAnsi="等线" w:hint="eastAsia"/>
                <w:sz w:val="20"/>
                <w:szCs w:val="21"/>
              </w:rPr>
              <w:lastRenderedPageBreak/>
              <w:t>法实施条例》第五十四条</w:t>
            </w:r>
          </w:p>
        </w:tc>
        <w:tc>
          <w:tcPr>
            <w:tcW w:w="1449"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lastRenderedPageBreak/>
              <w:t>罚款人民币二万元整</w:t>
            </w:r>
          </w:p>
        </w:tc>
      </w:tr>
      <w:tr w:rsidR="00AF5280" w:rsidTr="00AC2A64">
        <w:tc>
          <w:tcPr>
            <w:tcW w:w="424"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560" w:lineRule="exact"/>
              <w:rPr>
                <w:rFonts w:ascii="仿宋_GB2312" w:hAnsi="等线"/>
                <w:sz w:val="20"/>
                <w:szCs w:val="21"/>
              </w:rPr>
            </w:pPr>
            <w:r>
              <w:rPr>
                <w:rFonts w:ascii="仿宋_GB2312" w:hAnsi="等线" w:hint="eastAsia"/>
                <w:sz w:val="20"/>
                <w:szCs w:val="21"/>
              </w:rPr>
              <w:t>5</w:t>
            </w:r>
          </w:p>
        </w:tc>
        <w:tc>
          <w:tcPr>
            <w:tcW w:w="687"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2022年7月20日</w:t>
            </w:r>
          </w:p>
        </w:tc>
        <w:tc>
          <w:tcPr>
            <w:tcW w:w="720"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山东济宁运河煤矿有限责任公司</w:t>
            </w:r>
          </w:p>
        </w:tc>
        <w:tc>
          <w:tcPr>
            <w:tcW w:w="3214" w:type="dxa"/>
          </w:tcPr>
          <w:p w:rsidR="00AF5280" w:rsidRDefault="00AF5280" w:rsidP="00AC2A64">
            <w:pPr>
              <w:spacing w:line="240" w:lineRule="exact"/>
              <w:rPr>
                <w:rFonts w:ascii="仿宋_GB2312" w:hAnsi="等线"/>
                <w:sz w:val="20"/>
                <w:szCs w:val="21"/>
              </w:rPr>
            </w:pPr>
            <w:r>
              <w:rPr>
                <w:rFonts w:ascii="仿宋_GB2312" w:hAnsi="等线" w:hint="eastAsia"/>
                <w:sz w:val="20"/>
                <w:szCs w:val="21"/>
              </w:rPr>
              <w:t>1.矿井应急预案2022年1月修订后，未按照应急预案报备程序重新备案，不符合《生产安全事故应急预案管理办法》第三十七条的规定。</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《生产安全事故应急预案管理办法》第四十五条第三项</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罚款人民币一万元整</w:t>
            </w:r>
          </w:p>
        </w:tc>
      </w:tr>
      <w:tr w:rsidR="00AF5280" w:rsidTr="00AC2A64">
        <w:tc>
          <w:tcPr>
            <w:tcW w:w="424"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560" w:lineRule="exact"/>
              <w:rPr>
                <w:rFonts w:ascii="仿宋_GB2312" w:hAnsi="等线"/>
                <w:sz w:val="20"/>
                <w:szCs w:val="21"/>
              </w:rPr>
            </w:pPr>
            <w:r>
              <w:rPr>
                <w:rFonts w:ascii="仿宋_GB2312" w:hAnsi="等线" w:hint="eastAsia"/>
                <w:sz w:val="20"/>
                <w:szCs w:val="21"/>
              </w:rPr>
              <w:t>6</w:t>
            </w:r>
          </w:p>
        </w:tc>
        <w:tc>
          <w:tcPr>
            <w:tcW w:w="687"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2022年7月20日</w:t>
            </w:r>
          </w:p>
        </w:tc>
        <w:tc>
          <w:tcPr>
            <w:tcW w:w="720"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山东济宁运河煤矿有限责任公司</w:t>
            </w:r>
          </w:p>
        </w:tc>
        <w:tc>
          <w:tcPr>
            <w:tcW w:w="3214" w:type="dxa"/>
          </w:tcPr>
          <w:p w:rsidR="00AF5280" w:rsidRDefault="00AF5280" w:rsidP="00AC2A64">
            <w:pPr>
              <w:spacing w:line="240" w:lineRule="exact"/>
              <w:rPr>
                <w:rFonts w:ascii="仿宋_GB2312" w:hAnsi="等线"/>
                <w:sz w:val="20"/>
                <w:szCs w:val="21"/>
              </w:rPr>
            </w:pPr>
            <w:r>
              <w:rPr>
                <w:rFonts w:ascii="仿宋_GB2312" w:hAnsi="等线" w:hint="eastAsia"/>
                <w:sz w:val="20"/>
                <w:szCs w:val="21"/>
              </w:rPr>
              <w:t>1.现场进行7308综放工作面回风T2甲烷传感器调校人员无安全监测工特种作业人员资格证，不符合《煤矿安全监控系统及检测仪器使用管理规范》（AQ1029—2019）10.1.3规定；2.2022年6月16日，7300综放工作面回风隅角传感器进行每15天一次的甲烷电闭锁试验时，所关联的非本质安全型电气设备处于无电状态，未送电后再进行调校试验，不符合《煤矿安全规程》第八条第三款的规定；3.2022年7月11日11时39分至15时36分，复采探巷掘进工作面在用局部通风机故障，使用备用局部通风机供风，通风机供风范围内人员未停止施工，不符合《煤矿安全规程》第一百六十四条第七项的规定</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《山东省安全生产条例》第七十六条第一款</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罚款人民币九万元整</w:t>
            </w:r>
          </w:p>
        </w:tc>
      </w:tr>
      <w:tr w:rsidR="00AF5280" w:rsidTr="00AC2A64">
        <w:tc>
          <w:tcPr>
            <w:tcW w:w="424"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560" w:lineRule="exact"/>
              <w:rPr>
                <w:rFonts w:ascii="仿宋_GB2312" w:hAnsi="等线"/>
                <w:sz w:val="20"/>
                <w:szCs w:val="21"/>
              </w:rPr>
            </w:pPr>
            <w:r>
              <w:rPr>
                <w:rFonts w:ascii="仿宋_GB2312" w:hAnsi="等线" w:hint="eastAsia"/>
                <w:sz w:val="20"/>
                <w:szCs w:val="21"/>
              </w:rPr>
              <w:t>7</w:t>
            </w:r>
          </w:p>
        </w:tc>
        <w:tc>
          <w:tcPr>
            <w:tcW w:w="687"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2022年7月20日</w:t>
            </w:r>
          </w:p>
        </w:tc>
        <w:tc>
          <w:tcPr>
            <w:tcW w:w="720"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山东济宁运河煤矿有限责任公司</w:t>
            </w:r>
          </w:p>
        </w:tc>
        <w:tc>
          <w:tcPr>
            <w:tcW w:w="3214" w:type="dxa"/>
          </w:tcPr>
          <w:p w:rsidR="00AF5280" w:rsidRDefault="00AF5280" w:rsidP="00AC2A64">
            <w:pPr>
              <w:spacing w:line="240" w:lineRule="exact"/>
              <w:rPr>
                <w:rFonts w:ascii="仿宋_GB2312" w:hAnsi="等线"/>
                <w:sz w:val="20"/>
                <w:szCs w:val="21"/>
              </w:rPr>
            </w:pPr>
            <w:r>
              <w:rPr>
                <w:rFonts w:ascii="仿宋_GB2312" w:hAnsi="等线" w:hint="eastAsia"/>
                <w:sz w:val="20"/>
                <w:szCs w:val="21"/>
              </w:rPr>
              <w:t>1.7308综放工作面皮带顺槽KBZ-200馈电开关2022年6月19日未按规定进行每天一次跳闸试验，不符合《煤矿安全规程》第四百五十三条第四款的规定。</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《中华人民共和国安全生产法》第九十九条第二项</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280" w:rsidRDefault="00AF5280" w:rsidP="00AC2A64">
            <w:pPr>
              <w:spacing w:line="240" w:lineRule="exact"/>
              <w:rPr>
                <w:rFonts w:ascii="仿宋_GB2312" w:hAnsi="等线"/>
                <w:sz w:val="20"/>
                <w:szCs w:val="21"/>
              </w:rPr>
            </w:pPr>
            <w:r>
              <w:rPr>
                <w:rFonts w:ascii="仿宋_GB2312" w:hAnsi="等线" w:hint="eastAsia"/>
                <w:sz w:val="20"/>
                <w:szCs w:val="21"/>
              </w:rPr>
              <w:t>罚款人民币一万元整</w:t>
            </w:r>
          </w:p>
        </w:tc>
      </w:tr>
    </w:tbl>
    <w:p w:rsidR="00AF5280" w:rsidRDefault="00AF5280" w:rsidP="00AF5280"/>
    <w:p w:rsidR="00AF5280" w:rsidRDefault="00AF5280" w:rsidP="00AF5280">
      <w:pPr>
        <w:spacing w:line="560" w:lineRule="exact"/>
      </w:pPr>
    </w:p>
    <w:p w:rsidR="0040588C" w:rsidRDefault="0040588C"/>
    <w:sectPr w:rsidR="0040588C" w:rsidSect="002A46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B65" w:rsidRDefault="00250B65" w:rsidP="00AF5280">
      <w:r>
        <w:separator/>
      </w:r>
    </w:p>
  </w:endnote>
  <w:endnote w:type="continuationSeparator" w:id="0">
    <w:p w:rsidR="00250B65" w:rsidRDefault="00250B65" w:rsidP="00AF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B65" w:rsidRDefault="00250B65" w:rsidP="00AF5280">
      <w:r>
        <w:separator/>
      </w:r>
    </w:p>
  </w:footnote>
  <w:footnote w:type="continuationSeparator" w:id="0">
    <w:p w:rsidR="00250B65" w:rsidRDefault="00250B65" w:rsidP="00AF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E9"/>
    <w:rsid w:val="00250B65"/>
    <w:rsid w:val="0040588C"/>
    <w:rsid w:val="00AF5280"/>
    <w:rsid w:val="00B0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5B12C"/>
  <w15:chartTrackingRefBased/>
  <w15:docId w15:val="{613A052B-3A81-453E-9604-224A19BA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280"/>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280"/>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a4">
    <w:name w:val="页眉 字符"/>
    <w:basedOn w:val="a0"/>
    <w:link w:val="a3"/>
    <w:uiPriority w:val="99"/>
    <w:rsid w:val="00AF5280"/>
    <w:rPr>
      <w:sz w:val="18"/>
      <w:szCs w:val="18"/>
    </w:rPr>
  </w:style>
  <w:style w:type="paragraph" w:styleId="a5">
    <w:name w:val="footer"/>
    <w:basedOn w:val="a"/>
    <w:link w:val="a6"/>
    <w:uiPriority w:val="99"/>
    <w:unhideWhenUsed/>
    <w:rsid w:val="00AF5280"/>
    <w:pPr>
      <w:tabs>
        <w:tab w:val="center" w:pos="4153"/>
        <w:tab w:val="right" w:pos="8306"/>
      </w:tabs>
      <w:snapToGrid w:val="0"/>
      <w:jc w:val="left"/>
    </w:pPr>
    <w:rPr>
      <w:rFonts w:eastAsiaTheme="minorEastAsia"/>
      <w:sz w:val="18"/>
      <w:szCs w:val="18"/>
    </w:rPr>
  </w:style>
  <w:style w:type="character" w:customStyle="1" w:styleId="a6">
    <w:name w:val="页脚 字符"/>
    <w:basedOn w:val="a0"/>
    <w:link w:val="a5"/>
    <w:uiPriority w:val="99"/>
    <w:rsid w:val="00AF5280"/>
    <w:rPr>
      <w:sz w:val="18"/>
      <w:szCs w:val="18"/>
    </w:rPr>
  </w:style>
  <w:style w:type="table" w:styleId="a7">
    <w:name w:val="Table Grid"/>
    <w:basedOn w:val="a1"/>
    <w:uiPriority w:val="99"/>
    <w:unhideWhenUsed/>
    <w:qFormat/>
    <w:rsid w:val="00AF5280"/>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2</cp:revision>
  <dcterms:created xsi:type="dcterms:W3CDTF">2022-07-28T00:27:00Z</dcterms:created>
  <dcterms:modified xsi:type="dcterms:W3CDTF">2022-07-28T00:28:00Z</dcterms:modified>
</cp:coreProperties>
</file>