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52" w:rsidRDefault="00F524F1" w:rsidP="00DC15BA">
      <w:pPr>
        <w:spacing w:line="70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国家矿山安全监察局山东局</w:t>
      </w:r>
      <w:r w:rsidR="00DC15BA">
        <w:rPr>
          <w:rFonts w:ascii="方正小标宋简体" w:eastAsia="方正小标宋简体" w:hAnsi="等线" w:cs="Times New Roman" w:hint="eastAsia"/>
          <w:sz w:val="44"/>
          <w:szCs w:val="44"/>
        </w:rPr>
        <w:t>监察执法四处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2022年第5批行政处罚信息公告</w:t>
      </w:r>
    </w:p>
    <w:p w:rsidR="00FC2852" w:rsidRDefault="00F524F1">
      <w:pPr>
        <w:spacing w:line="7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C2852" w:rsidRDefault="00F524F1">
      <w:pPr>
        <w:spacing w:line="600" w:lineRule="exact"/>
        <w:ind w:firstLineChars="200" w:firstLine="640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根据《中华人民共和国安全生产法》第七十八条第二款等规定，现将我局2022年6月13日</w:t>
      </w:r>
      <w:proofErr w:type="gramStart"/>
      <w:r>
        <w:rPr>
          <w:rFonts w:ascii="仿宋_GB2312" w:hAnsi="等线" w:cs="Times New Roman" w:hint="eastAsia"/>
          <w:szCs w:val="32"/>
        </w:rPr>
        <w:t>作出</w:t>
      </w:r>
      <w:proofErr w:type="gramEnd"/>
      <w:r>
        <w:rPr>
          <w:rFonts w:ascii="仿宋_GB2312" w:hAnsi="等线" w:cs="Times New Roman" w:hint="eastAsia"/>
          <w:szCs w:val="32"/>
        </w:rPr>
        <w:t xml:space="preserve">的行政处罚信息予以公开，并接受社会监督。 </w:t>
      </w:r>
    </w:p>
    <w:p w:rsidR="00FC2852" w:rsidRDefault="00F524F1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C2852" w:rsidRDefault="00F524F1" w:rsidP="00DC15BA">
      <w:pPr>
        <w:spacing w:line="600" w:lineRule="exact"/>
        <w:ind w:leftChars="200" w:left="1600" w:hangingChars="300" w:hanging="960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附件：</w:t>
      </w:r>
      <w:r w:rsidR="00DC15BA">
        <w:rPr>
          <w:rFonts w:ascii="仿宋_GB2312" w:hAnsi="等线" w:cs="Times New Roman" w:hint="eastAsia"/>
          <w:szCs w:val="32"/>
        </w:rPr>
        <w:t>监察</w:t>
      </w:r>
      <w:r>
        <w:rPr>
          <w:rFonts w:ascii="仿宋_GB2312" w:hAnsi="等线" w:cs="Times New Roman" w:hint="eastAsia"/>
          <w:szCs w:val="32"/>
        </w:rPr>
        <w:t>执法四处2022年第5批行政处罚信息公开表</w:t>
      </w:r>
    </w:p>
    <w:p w:rsidR="00FC2852" w:rsidRDefault="00F524F1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C2852" w:rsidRDefault="00F524F1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C2852" w:rsidRDefault="00F524F1">
      <w:pPr>
        <w:spacing w:line="600" w:lineRule="exact"/>
        <w:ind w:right="320"/>
        <w:jc w:val="righ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国家矿山安全监察局山东局</w:t>
      </w:r>
    </w:p>
    <w:p w:rsidR="00FC2852" w:rsidRDefault="00F524F1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                             </w:t>
      </w:r>
      <w:r w:rsidR="00761BF2">
        <w:rPr>
          <w:rFonts w:ascii="仿宋_GB2312" w:hAnsi="等线" w:cs="Times New Roman" w:hint="eastAsia"/>
          <w:szCs w:val="32"/>
        </w:rPr>
        <w:t>2022年6月</w:t>
      </w:r>
      <w:r w:rsidR="00761BF2">
        <w:rPr>
          <w:rFonts w:ascii="仿宋_GB2312" w:hAnsi="等线" w:cs="Times New Roman"/>
          <w:szCs w:val="32"/>
        </w:rPr>
        <w:t>15</w:t>
      </w:r>
      <w:bookmarkStart w:id="0" w:name="_GoBack"/>
      <w:bookmarkEnd w:id="0"/>
      <w:r>
        <w:rPr>
          <w:rFonts w:ascii="仿宋_GB2312" w:hAnsi="等线" w:cs="Times New Roman" w:hint="eastAsia"/>
          <w:szCs w:val="32"/>
        </w:rPr>
        <w:t>日</w:t>
      </w:r>
    </w:p>
    <w:p w:rsidR="00FC2852" w:rsidRDefault="00F524F1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C2852" w:rsidRDefault="00F524F1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C2852" w:rsidRDefault="00F524F1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C2852" w:rsidRDefault="00F524F1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C2852" w:rsidRDefault="00F524F1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C2852" w:rsidRDefault="00F524F1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C2852" w:rsidRDefault="00F524F1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C2852" w:rsidRDefault="00F524F1">
      <w:pPr>
        <w:spacing w:line="600" w:lineRule="exact"/>
        <w:jc w:val="center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C2852" w:rsidRDefault="00F524F1" w:rsidP="00761BF2">
      <w:pPr>
        <w:spacing w:line="600" w:lineRule="exact"/>
        <w:jc w:val="center"/>
        <w:rPr>
          <w:rFonts w:ascii="仿宋_GB2312" w:hAnsi="等线" w:cs="Times New Roman" w:hint="eastAsia"/>
          <w:szCs w:val="32"/>
        </w:rPr>
        <w:sectPr w:rsidR="00FC285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C2852" w:rsidRDefault="00F524F1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lastRenderedPageBreak/>
        <w:t>附件</w:t>
      </w:r>
    </w:p>
    <w:p w:rsidR="00FC2852" w:rsidRDefault="00F524F1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>执法四处2022年第5批行政处罚信息公开表</w:t>
      </w:r>
    </w:p>
    <w:p w:rsidR="00FC2852" w:rsidRDefault="00F524F1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9459" w:type="dxa"/>
        <w:jc w:val="center"/>
        <w:tblLayout w:type="fixed"/>
        <w:tblLook w:val="04A0" w:firstRow="1" w:lastRow="0" w:firstColumn="1" w:lastColumn="0" w:noHBand="0" w:noVBand="1"/>
      </w:tblPr>
      <w:tblGrid>
        <w:gridCol w:w="414"/>
        <w:gridCol w:w="829"/>
        <w:gridCol w:w="772"/>
        <w:gridCol w:w="758"/>
        <w:gridCol w:w="3326"/>
        <w:gridCol w:w="1226"/>
        <w:gridCol w:w="2134"/>
      </w:tblGrid>
      <w:tr w:rsidR="00FC2852">
        <w:trPr>
          <w:trHeight w:val="126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kern w:val="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处罚内容</w:t>
            </w:r>
          </w:p>
        </w:tc>
      </w:tr>
      <w:tr w:rsidR="00FC2852">
        <w:trPr>
          <w:trHeight w:val="500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2022年6月13日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山东济矿鲁能煤电股份有限公司阳城煤矿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lef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-650m南翼新总回风巷（反向）掘进工作面已施工超过60m，未对巷道进行喷浆支护，顶帮管理不符合《-650m南翼新总回风巷（反向）掘进工作面作业规程》中“采用锚、网、索、钢带、喷联合支护方式”的规定，3308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切眼导硐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掘进工作面有一棵单体液压支柱卸载，部分顶板锚索外露长度超过300mm，不符合《3308切眼导硐掘进工作面作业规程》中“单体液压支柱卸载随时补注，顶板锚索外露长度150-250mm”的规定。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罚款人民币贰万元整（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¥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20,000.00）</w:t>
            </w:r>
          </w:p>
        </w:tc>
      </w:tr>
      <w:tr w:rsidR="00FC2852">
        <w:trPr>
          <w:trHeight w:val="9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2022年6月13日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山东济矿鲁能煤电股份有限公司阳城煤矿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lef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-650m南翼新总回风巷（反向）掘进工作面作业规程》凿岩方式及爆破作业中确定，采用一次打眼、一次装药、一次爆破的作业方式，实际操作采用先下分层爆破、再上分层爆破两次作业方式，钻眼、爆破人员未依照说明书进行作业，不符合《煤矿安全规程》第三百四十八条第二款的规定。3308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切眼导硐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掘进工作面与3308皮带顺槽贯通地点未选择在低应力区，不符合《山东省煤矿冲击地压防治办法》第三十九条的规定。3308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切眼导硐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掘进工作面非回采帮编号为69号、71号的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预卸压钻孔距离底板高度为1.65m、1.7m，不符合《3308切眼导硐掘进工作面防冲专项措施》中“两帮施工预卸压钻孔，钻孔直径150mm，孔深20m，钻孔距离巷道底板0.5-1.5m”的规定。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《山东省安全生产条例》第七十六条第一款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肆万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元整（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¥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40,000.00）</w:t>
            </w:r>
          </w:p>
        </w:tc>
      </w:tr>
      <w:tr w:rsidR="00FC2852">
        <w:trPr>
          <w:trHeight w:val="3167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2022年6月13日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山东济矿鲁能煤电股份有限公司阳城煤矿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lef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1319综放工作面安装期间安全风险管控清单中缺少在倾角超过20°的轨道巷、皮带巷内安设超前支护单元支架时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容易倒架及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伤人的安全风险及管控措施，不符合《中华人民共和国安全生产法》第四十一条第一款的规定。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《中华人民共和国安全生产法》第一百零一条第四项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罚款人民币贰万元整（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¥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20,000.00）</w:t>
            </w:r>
          </w:p>
        </w:tc>
      </w:tr>
      <w:tr w:rsidR="00FC2852">
        <w:trPr>
          <w:trHeight w:val="5015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2022年6月13日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山东济矿鲁能煤电股份有限公司阳城煤矿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lef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-650m南翼回风巷安设风速传感器数值为3.63m/s，实测风速为5m/s,未及时维修或者更换，不符合《中华人民共和国安全生产法》第三十六条二款的规定。使用浓度为500PPm的一氧化碳气样，测试2台在用一氧化碳检测报警仪（编号为3号、5号），其中3号一氧化碳检测报警仪实测数值为570PPm，误差超过规定，未及时维修，不符合《中华人民共和国安全生产法》第三十六条第二款的规定。查询液压支架工作阻力在线监测系统发现，4303综放工作面7#、15#传感器显示工作阻力分别为49.9MPa、45.2MPa，经核实现场实际值分别为34MPa、30MPa，传感器传输数据不准确，未及时维护，不符合《中华人民共和国安全生产法》第三十六条第二款的规定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《中华人民共和国安全生产法》第九十九条第三项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罚款人民币叁万元整（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¥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30,000.00）</w:t>
            </w:r>
          </w:p>
        </w:tc>
      </w:tr>
      <w:tr w:rsidR="00FC2852">
        <w:trPr>
          <w:trHeight w:val="9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2022年6月13日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监察局山东局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山东济矿鲁能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煤电股份有限公司阳城煤矿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lef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原3306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轨顺车场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、第五部皮带机头顶板开裂，影响行人安全，矿未及时发现并消除该隐患，不符合《中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华人民共和国安全生产法》第四十一条第二款的规定。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《中华人民共和国安全生产法》第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一百零二条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罚款人民币贰万元整（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¥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20,000.00）</w:t>
            </w:r>
          </w:p>
        </w:tc>
      </w:tr>
      <w:tr w:rsidR="00FC2852">
        <w:trPr>
          <w:trHeight w:val="210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2022年6月13日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山东济矿鲁能煤电股份有限公司阳城煤矿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lef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4303综放工作面在用带式输送机未安装自动纠偏装置，不符合《煤矿电气设备安装工程施工与验收规范》（GB51145-2015)15.3.2（1）的规定。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《中华人民共和国安全生产法》第九十九条第二项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2" w:rsidRDefault="00F524F1">
            <w:pPr>
              <w:autoSpaceDE w:val="0"/>
              <w:spacing w:line="320" w:lineRule="exact"/>
              <w:jc w:val="center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罚款人民币贰万元整（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¥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20,000.00）</w:t>
            </w:r>
          </w:p>
        </w:tc>
      </w:tr>
    </w:tbl>
    <w:p w:rsidR="00FC2852" w:rsidRDefault="00F524F1">
      <w:pPr>
        <w:autoSpaceDE w:val="0"/>
        <w:spacing w:line="320" w:lineRule="exact"/>
        <w:jc w:val="center"/>
        <w:rPr>
          <w:rFonts w:ascii="仿宋_GB2312" w:hAnsi="等线" w:cs="Times New Roman"/>
          <w:sz w:val="21"/>
          <w:szCs w:val="21"/>
        </w:rPr>
      </w:pPr>
      <w:r>
        <w:rPr>
          <w:rFonts w:ascii="仿宋_GB2312" w:hAnsi="等线" w:cs="Times New Roman" w:hint="eastAsia"/>
          <w:sz w:val="21"/>
          <w:szCs w:val="21"/>
        </w:rPr>
        <w:t xml:space="preserve"> </w:t>
      </w:r>
    </w:p>
    <w:p w:rsidR="00FC2852" w:rsidRDefault="00F524F1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p w:rsidR="00FC2852" w:rsidRDefault="00FC2852">
      <w:pPr>
        <w:spacing w:line="560" w:lineRule="exact"/>
      </w:pPr>
    </w:p>
    <w:sectPr w:rsidR="00FC2852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C7"/>
    <w:rsid w:val="0055030F"/>
    <w:rsid w:val="00761BF2"/>
    <w:rsid w:val="00D409E0"/>
    <w:rsid w:val="00DC15BA"/>
    <w:rsid w:val="00E646C7"/>
    <w:rsid w:val="00F524F1"/>
    <w:rsid w:val="00FC2852"/>
    <w:rsid w:val="5F4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C95C"/>
  <w15:docId w15:val="{0593E19A-6C6F-4B23-B87D-9125FD59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5B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C15B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zhangfumao315@163.com</dc:creator>
  <cp:lastModifiedBy>闵峰</cp:lastModifiedBy>
  <cp:revision>3</cp:revision>
  <dcterms:created xsi:type="dcterms:W3CDTF">2022-06-15T06:46:00Z</dcterms:created>
  <dcterms:modified xsi:type="dcterms:W3CDTF">2022-06-15T07:12:00Z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