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page" w:horzAnchor="margin" w:tblpY="4093"/>
        <w:tblW w:w="14121" w:type="dxa"/>
        <w:tblLook w:val="04A0"/>
      </w:tblPr>
      <w:tblGrid>
        <w:gridCol w:w="704"/>
        <w:gridCol w:w="1843"/>
        <w:gridCol w:w="1276"/>
        <w:gridCol w:w="1417"/>
        <w:gridCol w:w="4845"/>
        <w:gridCol w:w="2017"/>
        <w:gridCol w:w="2019"/>
      </w:tblGrid>
      <w:tr w:rsidR="007B680A" w:rsidTr="007B680A">
        <w:trPr>
          <w:trHeight w:val="871"/>
        </w:trPr>
        <w:tc>
          <w:tcPr>
            <w:tcW w:w="14121" w:type="dxa"/>
            <w:gridSpan w:val="7"/>
            <w:tcBorders>
              <w:top w:val="nil"/>
              <w:left w:val="nil"/>
              <w:right w:val="nil"/>
            </w:tcBorders>
            <w:vAlign w:val="center"/>
          </w:tcPr>
          <w:p w:rsidR="007B680A" w:rsidRPr="00FA5A81" w:rsidRDefault="007B680A" w:rsidP="007B680A">
            <w:pPr>
              <w:jc w:val="center"/>
              <w:rPr>
                <w:rFonts w:ascii="黑体" w:eastAsia="黑体" w:hAnsi="宋体" w:cs="宋体"/>
                <w:kern w:val="0"/>
                <w:sz w:val="44"/>
                <w:szCs w:val="44"/>
              </w:rPr>
            </w:pPr>
            <w:r w:rsidRPr="00FA5A81">
              <w:rPr>
                <w:rFonts w:ascii="黑体" w:eastAsia="黑体" w:hAnsi="宋体" w:cs="宋体" w:hint="eastAsia"/>
                <w:kern w:val="0"/>
                <w:sz w:val="44"/>
                <w:szCs w:val="44"/>
              </w:rPr>
              <w:t>2</w:t>
            </w:r>
            <w:r w:rsidRPr="00FA5A81">
              <w:rPr>
                <w:rFonts w:ascii="黑体" w:eastAsia="黑体" w:hAnsi="宋体" w:cs="宋体"/>
                <w:kern w:val="0"/>
                <w:sz w:val="44"/>
                <w:szCs w:val="44"/>
              </w:rPr>
              <w:t>022</w:t>
            </w:r>
            <w:r w:rsidRPr="00FA5A81">
              <w:rPr>
                <w:rFonts w:ascii="黑体" w:eastAsia="黑体" w:hAnsi="宋体" w:cs="宋体" w:hint="eastAsia"/>
                <w:kern w:val="0"/>
                <w:sz w:val="44"/>
                <w:szCs w:val="44"/>
              </w:rPr>
              <w:t>年度监察执法二</w:t>
            </w:r>
            <w:bookmarkStart w:id="0" w:name="_GoBack"/>
            <w:bookmarkEnd w:id="0"/>
            <w:r w:rsidRPr="00FA5A81">
              <w:rPr>
                <w:rFonts w:ascii="黑体" w:eastAsia="黑体" w:hAnsi="宋体" w:cs="宋体" w:hint="eastAsia"/>
                <w:kern w:val="0"/>
                <w:sz w:val="44"/>
                <w:szCs w:val="44"/>
              </w:rPr>
              <w:t>处第一批行政处罚信息公开表</w:t>
            </w:r>
          </w:p>
          <w:p w:rsidR="00FA5A81" w:rsidRPr="007B680A" w:rsidRDefault="00FA5A81" w:rsidP="007B680A">
            <w:pPr>
              <w:jc w:val="center"/>
              <w:rPr>
                <w:rFonts w:ascii="黑体" w:eastAsia="黑体" w:hAnsi="宋体" w:cs="宋体"/>
                <w:kern w:val="0"/>
                <w:szCs w:val="32"/>
              </w:rPr>
            </w:pPr>
          </w:p>
        </w:tc>
      </w:tr>
      <w:tr w:rsidR="005B7E9D" w:rsidTr="007B680A">
        <w:trPr>
          <w:trHeight w:val="871"/>
        </w:trPr>
        <w:tc>
          <w:tcPr>
            <w:tcW w:w="704" w:type="dxa"/>
            <w:vAlign w:val="center"/>
          </w:tcPr>
          <w:p w:rsidR="005B7E9D" w:rsidRDefault="005B7E9D" w:rsidP="006D60BB">
            <w:r>
              <w:rPr>
                <w:rFonts w:ascii="黑体" w:eastAsia="黑体" w:hAnsi="宋体" w:cs="宋体" w:hint="eastAsia"/>
                <w:kern w:val="0"/>
                <w:sz w:val="24"/>
              </w:rPr>
              <w:t>序号</w:t>
            </w:r>
          </w:p>
        </w:tc>
        <w:tc>
          <w:tcPr>
            <w:tcW w:w="1843" w:type="dxa"/>
            <w:vAlign w:val="center"/>
          </w:tcPr>
          <w:p w:rsidR="005B7E9D" w:rsidRPr="005B7E9D" w:rsidRDefault="005B7E9D" w:rsidP="006D60BB">
            <w:pPr>
              <w:rPr>
                <w:rFonts w:ascii="黑体" w:eastAsia="黑体" w:hAnsi="宋体" w:cs="宋体"/>
                <w:kern w:val="0"/>
                <w:sz w:val="24"/>
              </w:rPr>
            </w:pPr>
            <w:r w:rsidRPr="005B7E9D">
              <w:rPr>
                <w:rFonts w:ascii="黑体" w:eastAsia="黑体" w:hAnsi="宋体" w:cs="宋体" w:hint="eastAsia"/>
                <w:kern w:val="0"/>
                <w:sz w:val="24"/>
              </w:rPr>
              <w:t>执法决定日期</w:t>
            </w:r>
          </w:p>
        </w:tc>
        <w:tc>
          <w:tcPr>
            <w:tcW w:w="1276" w:type="dxa"/>
            <w:vAlign w:val="center"/>
          </w:tcPr>
          <w:p w:rsidR="005B7E9D" w:rsidRPr="005B7E9D" w:rsidRDefault="005B7E9D" w:rsidP="006D60BB">
            <w:pPr>
              <w:rPr>
                <w:rFonts w:ascii="黑体" w:eastAsia="黑体" w:hAnsi="宋体" w:cs="宋体"/>
                <w:kern w:val="0"/>
                <w:sz w:val="24"/>
              </w:rPr>
            </w:pPr>
            <w:r w:rsidRPr="005B7E9D">
              <w:rPr>
                <w:rFonts w:ascii="黑体" w:eastAsia="黑体" w:hAnsi="宋体" w:cs="宋体" w:hint="eastAsia"/>
                <w:kern w:val="0"/>
                <w:sz w:val="24"/>
              </w:rPr>
              <w:t>执法主体</w:t>
            </w:r>
          </w:p>
        </w:tc>
        <w:tc>
          <w:tcPr>
            <w:tcW w:w="1417" w:type="dxa"/>
            <w:vAlign w:val="center"/>
          </w:tcPr>
          <w:p w:rsidR="005B7E9D" w:rsidRPr="005B7E9D" w:rsidRDefault="005B7E9D" w:rsidP="006D60BB">
            <w:pPr>
              <w:rPr>
                <w:rFonts w:ascii="黑体" w:eastAsia="黑体" w:hAnsi="宋体" w:cs="宋体"/>
                <w:kern w:val="0"/>
                <w:sz w:val="24"/>
              </w:rPr>
            </w:pPr>
            <w:r w:rsidRPr="005B7E9D">
              <w:rPr>
                <w:rFonts w:ascii="黑体" w:eastAsia="黑体" w:hAnsi="宋体" w:cs="宋体" w:hint="eastAsia"/>
                <w:kern w:val="0"/>
                <w:sz w:val="24"/>
              </w:rPr>
              <w:t>执法对象</w:t>
            </w:r>
          </w:p>
        </w:tc>
        <w:tc>
          <w:tcPr>
            <w:tcW w:w="4845" w:type="dxa"/>
            <w:vAlign w:val="center"/>
          </w:tcPr>
          <w:p w:rsidR="005B7E9D" w:rsidRPr="005B7E9D" w:rsidRDefault="005B7E9D" w:rsidP="006D60BB">
            <w:pPr>
              <w:rPr>
                <w:rFonts w:ascii="黑体" w:eastAsia="黑体" w:hAnsi="宋体" w:cs="宋体"/>
                <w:kern w:val="0"/>
                <w:sz w:val="24"/>
              </w:rPr>
            </w:pPr>
            <w:r w:rsidRPr="005B7E9D">
              <w:rPr>
                <w:rFonts w:ascii="黑体" w:eastAsia="黑体" w:hAnsi="宋体" w:cs="宋体" w:hint="eastAsia"/>
                <w:kern w:val="0"/>
                <w:sz w:val="24"/>
              </w:rPr>
              <w:t>违法事实</w:t>
            </w:r>
          </w:p>
        </w:tc>
        <w:tc>
          <w:tcPr>
            <w:tcW w:w="2017" w:type="dxa"/>
            <w:vAlign w:val="center"/>
          </w:tcPr>
          <w:p w:rsidR="005B7E9D" w:rsidRPr="005B7E9D" w:rsidRDefault="005B7E9D" w:rsidP="006D60BB">
            <w:pPr>
              <w:rPr>
                <w:rFonts w:ascii="黑体" w:eastAsia="黑体" w:hAnsi="宋体" w:cs="宋体"/>
                <w:kern w:val="0"/>
                <w:sz w:val="24"/>
              </w:rPr>
            </w:pPr>
            <w:r w:rsidRPr="005B7E9D">
              <w:rPr>
                <w:rFonts w:ascii="黑体" w:eastAsia="黑体" w:hAnsi="宋体" w:cs="宋体" w:hint="eastAsia"/>
                <w:kern w:val="0"/>
                <w:sz w:val="24"/>
              </w:rPr>
              <w:t>处罚依据</w:t>
            </w:r>
          </w:p>
        </w:tc>
        <w:tc>
          <w:tcPr>
            <w:tcW w:w="2019" w:type="dxa"/>
            <w:vAlign w:val="center"/>
          </w:tcPr>
          <w:p w:rsidR="005B7E9D" w:rsidRPr="005B7E9D" w:rsidRDefault="005B7E9D" w:rsidP="006D60BB">
            <w:pPr>
              <w:rPr>
                <w:rFonts w:ascii="黑体" w:eastAsia="黑体" w:hAnsi="宋体" w:cs="宋体"/>
                <w:kern w:val="0"/>
                <w:sz w:val="24"/>
              </w:rPr>
            </w:pPr>
            <w:r w:rsidRPr="005B7E9D">
              <w:rPr>
                <w:rFonts w:ascii="黑体" w:eastAsia="黑体" w:hAnsi="宋体" w:cs="宋体" w:hint="eastAsia"/>
                <w:kern w:val="0"/>
                <w:sz w:val="24"/>
              </w:rPr>
              <w:t>处罚内容</w:t>
            </w:r>
          </w:p>
        </w:tc>
      </w:tr>
      <w:tr w:rsidR="00664CC2" w:rsidTr="007B680A">
        <w:trPr>
          <w:trHeight w:val="829"/>
        </w:trPr>
        <w:tc>
          <w:tcPr>
            <w:tcW w:w="704" w:type="dxa"/>
            <w:vMerge w:val="restart"/>
            <w:vAlign w:val="center"/>
          </w:tcPr>
          <w:p w:rsidR="00664CC2" w:rsidRPr="005B7E9D" w:rsidRDefault="00664CC2" w:rsidP="006D60BB">
            <w:pPr>
              <w:rPr>
                <w:rFonts w:ascii="仿宋_GB2312" w:hAnsi="楷体"/>
                <w:sz w:val="28"/>
                <w:szCs w:val="28"/>
              </w:rPr>
            </w:pPr>
            <w:r>
              <w:rPr>
                <w:rFonts w:ascii="仿宋_GB2312" w:hAnsi="楷体"/>
                <w:sz w:val="28"/>
                <w:szCs w:val="28"/>
              </w:rPr>
              <w:t>1</w:t>
            </w:r>
          </w:p>
        </w:tc>
        <w:tc>
          <w:tcPr>
            <w:tcW w:w="1843" w:type="dxa"/>
            <w:vMerge w:val="restart"/>
            <w:vAlign w:val="center"/>
          </w:tcPr>
          <w:p w:rsidR="00664CC2" w:rsidRPr="005B7E9D" w:rsidRDefault="00664CC2" w:rsidP="007B680A">
            <w:pPr>
              <w:rPr>
                <w:rFonts w:ascii="仿宋_GB2312" w:hAnsi="楷体"/>
                <w:sz w:val="28"/>
                <w:szCs w:val="28"/>
              </w:rPr>
            </w:pPr>
            <w:r w:rsidRPr="005B7E9D">
              <w:rPr>
                <w:rFonts w:ascii="仿宋_GB2312" w:hAnsi="楷体" w:hint="eastAsia"/>
                <w:sz w:val="28"/>
                <w:szCs w:val="28"/>
              </w:rPr>
              <w:t>2022.5.</w:t>
            </w:r>
            <w:r w:rsidR="007B680A">
              <w:rPr>
                <w:rFonts w:ascii="仿宋_GB2312" w:hAnsi="楷体"/>
                <w:sz w:val="28"/>
                <w:szCs w:val="28"/>
              </w:rPr>
              <w:t>16</w:t>
            </w:r>
          </w:p>
        </w:tc>
        <w:tc>
          <w:tcPr>
            <w:tcW w:w="1276" w:type="dxa"/>
            <w:vMerge w:val="restart"/>
            <w:vAlign w:val="center"/>
          </w:tcPr>
          <w:p w:rsidR="00664CC2" w:rsidRPr="005B7E9D" w:rsidRDefault="00664CC2" w:rsidP="006D60BB">
            <w:pPr>
              <w:rPr>
                <w:rFonts w:ascii="仿宋_GB2312" w:hAnsi="楷体"/>
                <w:sz w:val="28"/>
                <w:szCs w:val="28"/>
              </w:rPr>
            </w:pPr>
            <w:r w:rsidRPr="005B7E9D">
              <w:rPr>
                <w:rFonts w:ascii="仿宋_GB2312" w:hAnsi="楷体" w:hint="eastAsia"/>
                <w:sz w:val="28"/>
                <w:szCs w:val="28"/>
              </w:rPr>
              <w:t>监察执法二</w:t>
            </w:r>
            <w:r w:rsidR="006D60BB">
              <w:rPr>
                <w:rFonts w:ascii="仿宋_GB2312" w:hAnsi="楷体" w:hint="eastAsia"/>
                <w:sz w:val="28"/>
                <w:szCs w:val="28"/>
              </w:rPr>
              <w:t xml:space="preserve"> </w:t>
            </w:r>
            <w:r w:rsidRPr="005B7E9D">
              <w:rPr>
                <w:rFonts w:ascii="仿宋_GB2312" w:hAnsi="楷体" w:hint="eastAsia"/>
                <w:sz w:val="28"/>
                <w:szCs w:val="28"/>
              </w:rPr>
              <w:t>处</w:t>
            </w:r>
          </w:p>
        </w:tc>
        <w:tc>
          <w:tcPr>
            <w:tcW w:w="1417" w:type="dxa"/>
            <w:vMerge w:val="restart"/>
            <w:vAlign w:val="center"/>
          </w:tcPr>
          <w:p w:rsidR="00664CC2" w:rsidRPr="005B7E9D" w:rsidRDefault="00664CC2" w:rsidP="006D60BB">
            <w:pPr>
              <w:rPr>
                <w:rFonts w:ascii="仿宋_GB2312" w:hAnsi="楷体"/>
                <w:sz w:val="28"/>
                <w:szCs w:val="28"/>
              </w:rPr>
            </w:pPr>
            <w:r w:rsidRPr="005B7E9D">
              <w:rPr>
                <w:rFonts w:ascii="仿宋_GB2312" w:hAnsi="楷体" w:hint="eastAsia"/>
                <w:sz w:val="28"/>
                <w:szCs w:val="28"/>
              </w:rPr>
              <w:t>山东亨达煤业有限公司</w:t>
            </w:r>
          </w:p>
        </w:tc>
        <w:tc>
          <w:tcPr>
            <w:tcW w:w="4845" w:type="dxa"/>
          </w:tcPr>
          <w:p w:rsidR="00664CC2" w:rsidRDefault="00664CC2" w:rsidP="006D60BB">
            <w:pPr>
              <w:rPr>
                <w:rFonts w:ascii="仿宋_GB2312" w:hAnsi="楷体"/>
                <w:sz w:val="28"/>
                <w:szCs w:val="28"/>
              </w:rPr>
            </w:pPr>
            <w:r w:rsidRPr="005B7E9D">
              <w:rPr>
                <w:rFonts w:ascii="仿宋_GB2312" w:hAnsi="楷体" w:hint="eastAsia"/>
                <w:sz w:val="28"/>
                <w:szCs w:val="28"/>
              </w:rPr>
              <w:t>1.346综放工作面第12#支架、3528综放工作面第38#支架梁端处伞檐长度1m，突出部分400mm,不符合《综放工作面作业规程》中“伞檐长度1m以下时最突出部分不超过250mm”的规定；2.3528综放工作面第21#-22#、27#-28#液压支架错茬超过侧护板厚度的2/3，不符合《3528综放工作面作业规程》中“液压支架错茬不超过侧护板厚度2/3</w:t>
            </w:r>
            <w:r>
              <w:rPr>
                <w:rFonts w:ascii="仿宋_GB2312" w:hAnsi="楷体" w:hint="eastAsia"/>
                <w:sz w:val="28"/>
                <w:szCs w:val="28"/>
              </w:rPr>
              <w:t>”的规定。</w:t>
            </w:r>
          </w:p>
          <w:p w:rsidR="007B680A" w:rsidRPr="005B7E9D" w:rsidRDefault="007B680A" w:rsidP="006D60BB">
            <w:pPr>
              <w:rPr>
                <w:rFonts w:ascii="仿宋_GB2312" w:hAnsi="楷体"/>
                <w:sz w:val="28"/>
                <w:szCs w:val="28"/>
              </w:rPr>
            </w:pPr>
          </w:p>
        </w:tc>
        <w:tc>
          <w:tcPr>
            <w:tcW w:w="2017" w:type="dxa"/>
            <w:vAlign w:val="center"/>
          </w:tcPr>
          <w:p w:rsidR="00664CC2" w:rsidRPr="005B7E9D" w:rsidRDefault="00664CC2" w:rsidP="006D60BB">
            <w:pPr>
              <w:jc w:val="center"/>
              <w:rPr>
                <w:rFonts w:ascii="仿宋_GB2312" w:hAnsi="楷体"/>
                <w:sz w:val="28"/>
                <w:szCs w:val="28"/>
              </w:rPr>
            </w:pPr>
            <w:r w:rsidRPr="005B7E9D">
              <w:rPr>
                <w:rFonts w:ascii="仿宋_GB2312" w:hAnsi="楷体" w:hint="eastAsia"/>
                <w:sz w:val="28"/>
                <w:szCs w:val="28"/>
              </w:rPr>
              <w:t>《中华人民共和国矿山安全法实施条例》第</w:t>
            </w:r>
            <w:r>
              <w:rPr>
                <w:rFonts w:ascii="仿宋_GB2312" w:hAnsi="楷体" w:hint="eastAsia"/>
                <w:sz w:val="28"/>
                <w:szCs w:val="28"/>
              </w:rPr>
              <w:t>五十四</w:t>
            </w:r>
            <w:r w:rsidRPr="005B7E9D">
              <w:rPr>
                <w:rFonts w:ascii="仿宋_GB2312" w:hAnsi="楷体" w:hint="eastAsia"/>
                <w:sz w:val="28"/>
                <w:szCs w:val="28"/>
              </w:rPr>
              <w:t>条</w:t>
            </w:r>
          </w:p>
        </w:tc>
        <w:tc>
          <w:tcPr>
            <w:tcW w:w="2019" w:type="dxa"/>
            <w:vAlign w:val="center"/>
          </w:tcPr>
          <w:p w:rsidR="00664CC2" w:rsidRPr="005B7E9D" w:rsidRDefault="00664CC2" w:rsidP="006D60BB">
            <w:pPr>
              <w:jc w:val="center"/>
              <w:rPr>
                <w:rFonts w:ascii="仿宋_GB2312" w:hAnsi="楷体"/>
                <w:sz w:val="28"/>
                <w:szCs w:val="28"/>
              </w:rPr>
            </w:pPr>
            <w:r w:rsidRPr="005B7E9D">
              <w:rPr>
                <w:rFonts w:ascii="仿宋_GB2312" w:hAnsi="楷体" w:hint="eastAsia"/>
                <w:sz w:val="28"/>
                <w:szCs w:val="28"/>
              </w:rPr>
              <w:t>罚款人民币</w:t>
            </w:r>
            <w:r w:rsidR="006D60BB">
              <w:rPr>
                <w:rFonts w:ascii="仿宋_GB2312" w:hAnsi="楷体" w:hint="eastAsia"/>
                <w:sz w:val="28"/>
                <w:szCs w:val="28"/>
              </w:rPr>
              <w:t>二</w:t>
            </w:r>
            <w:r w:rsidRPr="005B7E9D">
              <w:rPr>
                <w:rFonts w:ascii="仿宋_GB2312" w:hAnsi="楷体" w:hint="eastAsia"/>
                <w:sz w:val="28"/>
                <w:szCs w:val="28"/>
              </w:rPr>
              <w:t>万元整</w:t>
            </w:r>
          </w:p>
        </w:tc>
      </w:tr>
      <w:tr w:rsidR="00664CC2" w:rsidTr="007B680A">
        <w:trPr>
          <w:trHeight w:val="871"/>
        </w:trPr>
        <w:tc>
          <w:tcPr>
            <w:tcW w:w="704" w:type="dxa"/>
            <w:vMerge/>
          </w:tcPr>
          <w:p w:rsidR="00664CC2" w:rsidRPr="005B7E9D" w:rsidRDefault="00664CC2" w:rsidP="006D60BB">
            <w:pPr>
              <w:rPr>
                <w:rFonts w:ascii="仿宋_GB2312" w:hAnsi="楷体"/>
                <w:sz w:val="28"/>
                <w:szCs w:val="28"/>
              </w:rPr>
            </w:pPr>
          </w:p>
        </w:tc>
        <w:tc>
          <w:tcPr>
            <w:tcW w:w="1843" w:type="dxa"/>
            <w:vMerge/>
          </w:tcPr>
          <w:p w:rsidR="00664CC2" w:rsidRPr="005B7E9D" w:rsidRDefault="00664CC2" w:rsidP="006D60BB">
            <w:pPr>
              <w:rPr>
                <w:rFonts w:ascii="仿宋_GB2312" w:hAnsi="楷体"/>
                <w:sz w:val="28"/>
                <w:szCs w:val="28"/>
              </w:rPr>
            </w:pPr>
          </w:p>
        </w:tc>
        <w:tc>
          <w:tcPr>
            <w:tcW w:w="1276" w:type="dxa"/>
            <w:vMerge/>
          </w:tcPr>
          <w:p w:rsidR="00664CC2" w:rsidRPr="005B7E9D" w:rsidRDefault="00664CC2" w:rsidP="006D60BB">
            <w:pPr>
              <w:rPr>
                <w:rFonts w:ascii="仿宋_GB2312" w:hAnsi="楷体"/>
                <w:sz w:val="28"/>
                <w:szCs w:val="28"/>
              </w:rPr>
            </w:pPr>
          </w:p>
        </w:tc>
        <w:tc>
          <w:tcPr>
            <w:tcW w:w="1417" w:type="dxa"/>
            <w:vMerge/>
          </w:tcPr>
          <w:p w:rsidR="00664CC2" w:rsidRPr="005B7E9D" w:rsidRDefault="00664CC2" w:rsidP="006D60BB">
            <w:pPr>
              <w:rPr>
                <w:rFonts w:ascii="仿宋_GB2312" w:hAnsi="楷体"/>
                <w:sz w:val="28"/>
                <w:szCs w:val="28"/>
              </w:rPr>
            </w:pPr>
          </w:p>
        </w:tc>
        <w:tc>
          <w:tcPr>
            <w:tcW w:w="4845" w:type="dxa"/>
          </w:tcPr>
          <w:p w:rsidR="00664CC2" w:rsidRPr="005B7E9D" w:rsidRDefault="00664CC2" w:rsidP="006D60BB">
            <w:pPr>
              <w:rPr>
                <w:rFonts w:ascii="仿宋_GB2312" w:hAnsi="楷体"/>
                <w:sz w:val="28"/>
                <w:szCs w:val="28"/>
              </w:rPr>
            </w:pPr>
            <w:r w:rsidRPr="005B7E9D">
              <w:rPr>
                <w:rFonts w:ascii="仿宋_GB2312" w:hAnsi="楷体" w:hint="eastAsia"/>
                <w:sz w:val="28"/>
                <w:szCs w:val="28"/>
              </w:rPr>
              <w:t>3.矿井井下采掘工作面“标尺标识”标在钢棚棚腿上，不醒目，不规范，不符合国家矿山安全监察局山东局 山东省</w:t>
            </w:r>
            <w:r w:rsidRPr="005B7E9D">
              <w:rPr>
                <w:rFonts w:ascii="仿宋_GB2312" w:hAnsi="楷体" w:hint="eastAsia"/>
                <w:sz w:val="28"/>
                <w:szCs w:val="28"/>
              </w:rPr>
              <w:lastRenderedPageBreak/>
              <w:t>能源局《关于“标尺标识”动态管控采掘工作面推进速度》的通知（矿安鲁〔2021〕22号）第四条的规定；4.矿井“标尺标识”动态管控采掘工作面未及时进行“标尺标识”拍照录像，存档备查。不符合国家矿山安全监察局山东局 山东省能源局《关于“标尺标识”动态管控采掘工作面推进速度》的通知（矿安鲁〔2021〕22号）第六条的规定；5.四采区进风巷第一部滚筒驱动带式输送机机头20m范围皮带底部有积尘，未及时清理，不符合《煤矿安全规程》第一百八十六条第二款的规定；6.四采区进风巷第一部滚筒驱动带式输送机转载点落差1m；3528综放工作面运输巷两部刮板输送机转载点落差超过0.5m，未安装溜槽或导向板,不符合《煤矿井下粉尘综合防治技术规范》(AQ1020-2006)第4.9.1.1的规定；7.</w:t>
            </w:r>
            <w:r w:rsidRPr="005B7E9D">
              <w:rPr>
                <w:rFonts w:ascii="仿宋_GB2312" w:hAnsi="楷体" w:hint="eastAsia"/>
                <w:sz w:val="28"/>
                <w:szCs w:val="28"/>
              </w:rPr>
              <w:lastRenderedPageBreak/>
              <w:t>四采区进风巷第一部滚筒驱动带式输送机机头处未设置防护栏和警示牌，不符合《煤矿安全规程》第三百七十四条第九项的规定；8.矿井采用喷洒阻化剂防灭火，使用的阻化剂为氯化镁，使用前未组织安全性、环保性评估，不符合《煤矿防灭火细则》第二十九条第二款的规定；9.四采区进风巷设置的压风管路直径为50mm，不符合《煤矿安全规程》第六百八十七条第一款的规定；10.3528综放工作面油料库内存放用过的棉纱、布头的铁桶没有盖，不符合《煤矿安全规程》第二百五十五条第二款的规定；11.200副下山内采用架空乘人装置运送人员，未在3529轨道巷门口乘人站设上下人平台，不符合《煤矿安全规程》第三百八十三条第五项的规定，12.3528综放工作面回风巷设置的甲烷传感器外表积尘，未及时清理，</w:t>
            </w:r>
            <w:r w:rsidRPr="005B7E9D">
              <w:rPr>
                <w:rFonts w:ascii="仿宋_GB2312" w:hAnsi="楷体" w:hint="eastAsia"/>
                <w:sz w:val="28"/>
                <w:szCs w:val="28"/>
              </w:rPr>
              <w:lastRenderedPageBreak/>
              <w:t>不符合《煤矿安全监控系统及检测仪器使用管理规范》（AQ1029-2019）第8.4.8</w:t>
            </w:r>
            <w:r>
              <w:rPr>
                <w:rFonts w:ascii="仿宋_GB2312" w:hAnsi="楷体" w:hint="eastAsia"/>
                <w:sz w:val="28"/>
                <w:szCs w:val="28"/>
              </w:rPr>
              <w:t>的规定。</w:t>
            </w:r>
          </w:p>
        </w:tc>
        <w:tc>
          <w:tcPr>
            <w:tcW w:w="2017" w:type="dxa"/>
            <w:vAlign w:val="center"/>
          </w:tcPr>
          <w:p w:rsidR="00664CC2" w:rsidRPr="005B7E9D" w:rsidRDefault="00664CC2" w:rsidP="006D60BB">
            <w:pPr>
              <w:jc w:val="center"/>
              <w:rPr>
                <w:rFonts w:ascii="仿宋_GB2312" w:hAnsi="楷体"/>
                <w:sz w:val="28"/>
                <w:szCs w:val="28"/>
              </w:rPr>
            </w:pPr>
            <w:r w:rsidRPr="00664CC2">
              <w:rPr>
                <w:rFonts w:ascii="仿宋_GB2312" w:hAnsi="楷体" w:hint="eastAsia"/>
                <w:sz w:val="28"/>
                <w:szCs w:val="28"/>
              </w:rPr>
              <w:lastRenderedPageBreak/>
              <w:t>《中华人民共和国安全生产法》第一百零</w:t>
            </w:r>
            <w:r w:rsidRPr="00664CC2">
              <w:rPr>
                <w:rFonts w:ascii="仿宋_GB2312" w:hAnsi="楷体" w:hint="eastAsia"/>
                <w:sz w:val="28"/>
                <w:szCs w:val="28"/>
              </w:rPr>
              <w:lastRenderedPageBreak/>
              <w:t>二条</w:t>
            </w:r>
          </w:p>
        </w:tc>
        <w:tc>
          <w:tcPr>
            <w:tcW w:w="2019" w:type="dxa"/>
            <w:vAlign w:val="center"/>
          </w:tcPr>
          <w:p w:rsidR="00664CC2" w:rsidRPr="005B7E9D" w:rsidRDefault="00664CC2" w:rsidP="006D60BB">
            <w:pPr>
              <w:jc w:val="center"/>
              <w:rPr>
                <w:rFonts w:ascii="仿宋_GB2312" w:hAnsi="楷体"/>
                <w:sz w:val="28"/>
                <w:szCs w:val="28"/>
              </w:rPr>
            </w:pPr>
            <w:r w:rsidRPr="00664CC2">
              <w:rPr>
                <w:rFonts w:ascii="仿宋_GB2312" w:hAnsi="楷体" w:hint="eastAsia"/>
                <w:sz w:val="28"/>
                <w:szCs w:val="28"/>
              </w:rPr>
              <w:lastRenderedPageBreak/>
              <w:t>罚款人民币</w:t>
            </w:r>
            <w:r w:rsidR="006D60BB">
              <w:rPr>
                <w:rFonts w:ascii="仿宋_GB2312" w:hAnsi="楷体" w:hint="eastAsia"/>
                <w:sz w:val="28"/>
                <w:szCs w:val="28"/>
              </w:rPr>
              <w:t>五</w:t>
            </w:r>
            <w:r w:rsidRPr="00664CC2">
              <w:rPr>
                <w:rFonts w:ascii="仿宋_GB2312" w:hAnsi="楷体" w:hint="eastAsia"/>
                <w:sz w:val="28"/>
                <w:szCs w:val="28"/>
              </w:rPr>
              <w:t>万元整</w:t>
            </w:r>
          </w:p>
        </w:tc>
      </w:tr>
      <w:tr w:rsidR="006D60BB" w:rsidTr="007B680A">
        <w:trPr>
          <w:trHeight w:val="829"/>
        </w:trPr>
        <w:tc>
          <w:tcPr>
            <w:tcW w:w="704" w:type="dxa"/>
            <w:vAlign w:val="center"/>
          </w:tcPr>
          <w:p w:rsidR="006D60BB" w:rsidRPr="005B7E9D" w:rsidRDefault="006D60BB" w:rsidP="006D60BB">
            <w:pPr>
              <w:jc w:val="center"/>
              <w:rPr>
                <w:rFonts w:ascii="仿宋_GB2312" w:hAnsi="楷体"/>
                <w:sz w:val="28"/>
                <w:szCs w:val="28"/>
              </w:rPr>
            </w:pPr>
            <w:r>
              <w:rPr>
                <w:rFonts w:ascii="仿宋_GB2312" w:hAnsi="楷体" w:hint="eastAsia"/>
                <w:sz w:val="28"/>
                <w:szCs w:val="28"/>
              </w:rPr>
              <w:lastRenderedPageBreak/>
              <w:t>2</w:t>
            </w:r>
          </w:p>
        </w:tc>
        <w:tc>
          <w:tcPr>
            <w:tcW w:w="1843" w:type="dxa"/>
            <w:vMerge w:val="restart"/>
            <w:vAlign w:val="center"/>
          </w:tcPr>
          <w:p w:rsidR="006D60BB" w:rsidRPr="005B7E9D" w:rsidRDefault="006D60BB" w:rsidP="007B680A">
            <w:pPr>
              <w:jc w:val="center"/>
              <w:rPr>
                <w:rFonts w:ascii="仿宋_GB2312" w:hAnsi="楷体"/>
                <w:sz w:val="28"/>
                <w:szCs w:val="28"/>
              </w:rPr>
            </w:pPr>
            <w:r>
              <w:rPr>
                <w:rFonts w:ascii="仿宋_GB2312" w:hAnsi="楷体" w:hint="eastAsia"/>
                <w:sz w:val="28"/>
                <w:szCs w:val="28"/>
              </w:rPr>
              <w:t>2</w:t>
            </w:r>
            <w:r>
              <w:rPr>
                <w:rFonts w:ascii="仿宋_GB2312" w:hAnsi="楷体"/>
                <w:sz w:val="28"/>
                <w:szCs w:val="28"/>
              </w:rPr>
              <w:t>022.5.</w:t>
            </w:r>
            <w:r w:rsidR="007B680A">
              <w:rPr>
                <w:rFonts w:ascii="仿宋_GB2312" w:hAnsi="楷体"/>
                <w:sz w:val="28"/>
                <w:szCs w:val="28"/>
              </w:rPr>
              <w:t>16</w:t>
            </w:r>
          </w:p>
        </w:tc>
        <w:tc>
          <w:tcPr>
            <w:tcW w:w="1276" w:type="dxa"/>
            <w:vMerge w:val="restart"/>
            <w:vAlign w:val="center"/>
          </w:tcPr>
          <w:p w:rsidR="006D60BB" w:rsidRPr="005B7E9D" w:rsidRDefault="006D60BB" w:rsidP="006D60BB">
            <w:pPr>
              <w:jc w:val="center"/>
              <w:rPr>
                <w:rFonts w:ascii="仿宋_GB2312" w:hAnsi="楷体"/>
                <w:sz w:val="28"/>
                <w:szCs w:val="28"/>
              </w:rPr>
            </w:pPr>
            <w:r>
              <w:rPr>
                <w:rFonts w:ascii="仿宋_GB2312" w:hAnsi="楷体" w:hint="eastAsia"/>
                <w:sz w:val="28"/>
                <w:szCs w:val="28"/>
              </w:rPr>
              <w:t>监察执法二处</w:t>
            </w:r>
          </w:p>
        </w:tc>
        <w:tc>
          <w:tcPr>
            <w:tcW w:w="1417" w:type="dxa"/>
            <w:vMerge w:val="restart"/>
            <w:vAlign w:val="center"/>
          </w:tcPr>
          <w:p w:rsidR="006D60BB" w:rsidRPr="005B7E9D" w:rsidRDefault="006D60BB" w:rsidP="006D60BB">
            <w:pPr>
              <w:jc w:val="center"/>
              <w:rPr>
                <w:rFonts w:ascii="仿宋_GB2312" w:hAnsi="楷体"/>
                <w:sz w:val="28"/>
                <w:szCs w:val="28"/>
              </w:rPr>
            </w:pPr>
            <w:r w:rsidRPr="006D60BB">
              <w:rPr>
                <w:rFonts w:ascii="仿宋_GB2312" w:hAnsi="楷体" w:hint="eastAsia"/>
                <w:sz w:val="28"/>
                <w:szCs w:val="28"/>
              </w:rPr>
              <w:t>山东华宁矿业集团有限公司鑫安煤矿</w:t>
            </w:r>
          </w:p>
        </w:tc>
        <w:tc>
          <w:tcPr>
            <w:tcW w:w="4845" w:type="dxa"/>
          </w:tcPr>
          <w:p w:rsidR="006D60BB" w:rsidRPr="005B7E9D" w:rsidRDefault="006D60BB" w:rsidP="006D60BB">
            <w:pPr>
              <w:rPr>
                <w:rFonts w:ascii="仿宋_GB2312" w:hAnsi="楷体"/>
                <w:sz w:val="28"/>
                <w:szCs w:val="28"/>
              </w:rPr>
            </w:pPr>
            <w:r w:rsidRPr="006D60BB">
              <w:rPr>
                <w:rFonts w:ascii="仿宋_GB2312" w:hAnsi="楷体" w:hint="eastAsia"/>
                <w:sz w:val="28"/>
                <w:szCs w:val="28"/>
              </w:rPr>
              <w:t>1.21317综放工作面28</w:t>
            </w:r>
            <w:r w:rsidRPr="007B680A">
              <w:rPr>
                <w:rFonts w:ascii="仿宋_GB2312" w:hAnsi="楷体" w:hint="eastAsia"/>
                <w:sz w:val="28"/>
                <w:szCs w:val="28"/>
                <w:vertAlign w:val="superscript"/>
              </w:rPr>
              <w:t>#</w:t>
            </w:r>
            <w:r w:rsidRPr="006D60BB">
              <w:rPr>
                <w:rFonts w:ascii="仿宋_GB2312" w:hAnsi="楷体" w:hint="eastAsia"/>
                <w:sz w:val="28"/>
                <w:szCs w:val="28"/>
              </w:rPr>
              <w:t>-29</w:t>
            </w:r>
            <w:r w:rsidRPr="007B680A">
              <w:rPr>
                <w:rFonts w:ascii="仿宋_GB2312" w:hAnsi="楷体" w:hint="eastAsia"/>
                <w:sz w:val="28"/>
                <w:szCs w:val="28"/>
                <w:vertAlign w:val="superscript"/>
              </w:rPr>
              <w:t>#</w:t>
            </w:r>
            <w:r w:rsidRPr="006D60BB">
              <w:rPr>
                <w:rFonts w:ascii="仿宋_GB2312" w:hAnsi="楷体" w:hint="eastAsia"/>
                <w:sz w:val="28"/>
                <w:szCs w:val="28"/>
              </w:rPr>
              <w:t>液压支架、3301综放工作面第25</w:t>
            </w:r>
            <w:r w:rsidRPr="007B680A">
              <w:rPr>
                <w:rFonts w:ascii="仿宋_GB2312" w:hAnsi="楷体" w:hint="eastAsia"/>
                <w:sz w:val="28"/>
                <w:szCs w:val="28"/>
                <w:vertAlign w:val="superscript"/>
              </w:rPr>
              <w:t>#</w:t>
            </w:r>
            <w:r w:rsidRPr="006D60BB">
              <w:rPr>
                <w:rFonts w:ascii="仿宋_GB2312" w:hAnsi="楷体" w:hint="eastAsia"/>
                <w:sz w:val="28"/>
                <w:szCs w:val="28"/>
              </w:rPr>
              <w:t>～26</w:t>
            </w:r>
            <w:r w:rsidRPr="007B680A">
              <w:rPr>
                <w:rFonts w:ascii="仿宋_GB2312" w:hAnsi="楷体" w:hint="eastAsia"/>
                <w:sz w:val="28"/>
                <w:szCs w:val="28"/>
                <w:vertAlign w:val="superscript"/>
              </w:rPr>
              <w:t>#</w:t>
            </w:r>
            <w:r w:rsidRPr="006D60BB">
              <w:rPr>
                <w:rFonts w:ascii="仿宋_GB2312" w:hAnsi="楷体" w:hint="eastAsia"/>
                <w:sz w:val="28"/>
                <w:szCs w:val="28"/>
              </w:rPr>
              <w:t>、28</w:t>
            </w:r>
            <w:r w:rsidRPr="007B680A">
              <w:rPr>
                <w:rFonts w:ascii="仿宋_GB2312" w:hAnsi="楷体" w:hint="eastAsia"/>
                <w:sz w:val="28"/>
                <w:szCs w:val="28"/>
                <w:vertAlign w:val="superscript"/>
              </w:rPr>
              <w:t>#</w:t>
            </w:r>
            <w:r w:rsidRPr="006D60BB">
              <w:rPr>
                <w:rFonts w:ascii="仿宋_GB2312" w:hAnsi="楷体" w:hint="eastAsia"/>
                <w:sz w:val="28"/>
                <w:szCs w:val="28"/>
              </w:rPr>
              <w:t>～29</w:t>
            </w:r>
            <w:r w:rsidRPr="007B680A">
              <w:rPr>
                <w:rFonts w:ascii="仿宋_GB2312" w:hAnsi="楷体" w:hint="eastAsia"/>
                <w:sz w:val="28"/>
                <w:szCs w:val="28"/>
                <w:vertAlign w:val="superscript"/>
              </w:rPr>
              <w:t>#</w:t>
            </w:r>
            <w:r w:rsidRPr="006D60BB">
              <w:rPr>
                <w:rFonts w:ascii="仿宋_GB2312" w:hAnsi="楷体" w:hint="eastAsia"/>
                <w:sz w:val="28"/>
                <w:szCs w:val="28"/>
              </w:rPr>
              <w:t>液压支架错茬超过顶梁侧护板高的2/3，不符合《综放工作面作业规程》“工作面相邻支架顶梁平整，错茬不超过顶梁侧护板高的三分之二”的规定；2.3301综放工作面有18</w:t>
            </w:r>
            <w:r w:rsidRPr="007B680A">
              <w:rPr>
                <w:rFonts w:ascii="仿宋_GB2312" w:hAnsi="楷体" w:hint="eastAsia"/>
                <w:sz w:val="28"/>
                <w:szCs w:val="28"/>
                <w:vertAlign w:val="superscript"/>
              </w:rPr>
              <w:t>#</w:t>
            </w:r>
            <w:r w:rsidRPr="006D60BB">
              <w:rPr>
                <w:rFonts w:ascii="仿宋_GB2312" w:hAnsi="楷体" w:hint="eastAsia"/>
                <w:sz w:val="28"/>
                <w:szCs w:val="28"/>
              </w:rPr>
              <w:t>、22</w:t>
            </w:r>
            <w:r w:rsidRPr="007B680A">
              <w:rPr>
                <w:rFonts w:ascii="仿宋_GB2312" w:hAnsi="楷体" w:hint="eastAsia"/>
                <w:sz w:val="28"/>
                <w:szCs w:val="28"/>
                <w:vertAlign w:val="superscript"/>
              </w:rPr>
              <w:t>#</w:t>
            </w:r>
            <w:r w:rsidRPr="006D60BB">
              <w:rPr>
                <w:rFonts w:ascii="仿宋_GB2312" w:hAnsi="楷体" w:hint="eastAsia"/>
                <w:sz w:val="28"/>
                <w:szCs w:val="28"/>
              </w:rPr>
              <w:t>支架工作阻力分别为22Mpa、21Mpa，不符合《3301综放工作面作业规程》“工作面支架工作阻力不小于24Mpa”的规定；3.21317综放工作面，煤壁不齐，不符合《21317综放工作面作业规程》中“煤壁要齐直，不得留有伞檐”的规定</w:t>
            </w:r>
            <w:r>
              <w:rPr>
                <w:rFonts w:ascii="仿宋_GB2312" w:hAnsi="楷体" w:hint="eastAsia"/>
                <w:sz w:val="28"/>
                <w:szCs w:val="28"/>
              </w:rPr>
              <w:t>。</w:t>
            </w:r>
          </w:p>
        </w:tc>
        <w:tc>
          <w:tcPr>
            <w:tcW w:w="2017" w:type="dxa"/>
            <w:vAlign w:val="center"/>
          </w:tcPr>
          <w:p w:rsidR="006D60BB" w:rsidRPr="005B7E9D" w:rsidRDefault="006D60BB" w:rsidP="006D60BB">
            <w:pPr>
              <w:jc w:val="center"/>
              <w:rPr>
                <w:rFonts w:ascii="仿宋_GB2312" w:hAnsi="楷体"/>
                <w:sz w:val="28"/>
                <w:szCs w:val="28"/>
              </w:rPr>
            </w:pPr>
            <w:r w:rsidRPr="005B7E9D">
              <w:rPr>
                <w:rFonts w:ascii="仿宋_GB2312" w:hAnsi="楷体" w:hint="eastAsia"/>
                <w:sz w:val="28"/>
                <w:szCs w:val="28"/>
              </w:rPr>
              <w:t>《中华人民共和国矿山安全法实施条例》第</w:t>
            </w:r>
            <w:r>
              <w:rPr>
                <w:rFonts w:ascii="仿宋_GB2312" w:hAnsi="楷体" w:hint="eastAsia"/>
                <w:sz w:val="28"/>
                <w:szCs w:val="28"/>
              </w:rPr>
              <w:t>五十四</w:t>
            </w:r>
            <w:r w:rsidRPr="005B7E9D">
              <w:rPr>
                <w:rFonts w:ascii="仿宋_GB2312" w:hAnsi="楷体" w:hint="eastAsia"/>
                <w:sz w:val="28"/>
                <w:szCs w:val="28"/>
              </w:rPr>
              <w:t>条</w:t>
            </w:r>
          </w:p>
        </w:tc>
        <w:tc>
          <w:tcPr>
            <w:tcW w:w="2019" w:type="dxa"/>
            <w:vAlign w:val="center"/>
          </w:tcPr>
          <w:p w:rsidR="006D60BB" w:rsidRPr="005B7E9D" w:rsidRDefault="006D60BB" w:rsidP="006D60BB">
            <w:pPr>
              <w:jc w:val="center"/>
              <w:rPr>
                <w:rFonts w:ascii="仿宋_GB2312" w:hAnsi="楷体"/>
                <w:sz w:val="28"/>
                <w:szCs w:val="28"/>
              </w:rPr>
            </w:pPr>
            <w:r w:rsidRPr="005B7E9D">
              <w:rPr>
                <w:rFonts w:ascii="仿宋_GB2312" w:hAnsi="楷体" w:hint="eastAsia"/>
                <w:sz w:val="28"/>
                <w:szCs w:val="28"/>
              </w:rPr>
              <w:t>罚款人民币</w:t>
            </w:r>
            <w:r>
              <w:rPr>
                <w:rFonts w:ascii="仿宋_GB2312" w:hAnsi="楷体" w:hint="eastAsia"/>
                <w:sz w:val="28"/>
                <w:szCs w:val="28"/>
              </w:rPr>
              <w:t>二</w:t>
            </w:r>
            <w:r w:rsidRPr="005B7E9D">
              <w:rPr>
                <w:rFonts w:ascii="仿宋_GB2312" w:hAnsi="楷体" w:hint="eastAsia"/>
                <w:sz w:val="28"/>
                <w:szCs w:val="28"/>
              </w:rPr>
              <w:t>万元整</w:t>
            </w:r>
          </w:p>
        </w:tc>
      </w:tr>
      <w:tr w:rsidR="006D60BB" w:rsidTr="007B680A">
        <w:trPr>
          <w:trHeight w:val="829"/>
        </w:trPr>
        <w:tc>
          <w:tcPr>
            <w:tcW w:w="704" w:type="dxa"/>
            <w:vMerge w:val="restart"/>
          </w:tcPr>
          <w:p w:rsidR="006D60BB" w:rsidRPr="005B7E9D" w:rsidRDefault="006D60BB" w:rsidP="006D60BB">
            <w:pPr>
              <w:rPr>
                <w:rFonts w:ascii="仿宋_GB2312" w:hAnsi="楷体"/>
                <w:sz w:val="28"/>
                <w:szCs w:val="28"/>
              </w:rPr>
            </w:pPr>
          </w:p>
        </w:tc>
        <w:tc>
          <w:tcPr>
            <w:tcW w:w="1843" w:type="dxa"/>
            <w:vMerge/>
          </w:tcPr>
          <w:p w:rsidR="006D60BB" w:rsidRPr="005B7E9D" w:rsidRDefault="006D60BB" w:rsidP="006D60BB">
            <w:pPr>
              <w:rPr>
                <w:rFonts w:ascii="仿宋_GB2312" w:hAnsi="楷体"/>
                <w:sz w:val="28"/>
                <w:szCs w:val="28"/>
              </w:rPr>
            </w:pPr>
          </w:p>
        </w:tc>
        <w:tc>
          <w:tcPr>
            <w:tcW w:w="1276" w:type="dxa"/>
            <w:vMerge/>
          </w:tcPr>
          <w:p w:rsidR="006D60BB" w:rsidRPr="005B7E9D" w:rsidRDefault="006D60BB" w:rsidP="006D60BB">
            <w:pPr>
              <w:rPr>
                <w:rFonts w:ascii="仿宋_GB2312" w:hAnsi="楷体"/>
                <w:sz w:val="28"/>
                <w:szCs w:val="28"/>
              </w:rPr>
            </w:pPr>
          </w:p>
        </w:tc>
        <w:tc>
          <w:tcPr>
            <w:tcW w:w="1417" w:type="dxa"/>
            <w:vMerge/>
          </w:tcPr>
          <w:p w:rsidR="006D60BB" w:rsidRPr="005B7E9D" w:rsidRDefault="006D60BB" w:rsidP="006D60BB">
            <w:pPr>
              <w:rPr>
                <w:rFonts w:ascii="仿宋_GB2312" w:hAnsi="楷体"/>
                <w:sz w:val="28"/>
                <w:szCs w:val="28"/>
              </w:rPr>
            </w:pPr>
          </w:p>
        </w:tc>
        <w:tc>
          <w:tcPr>
            <w:tcW w:w="4845" w:type="dxa"/>
          </w:tcPr>
          <w:p w:rsidR="006D60BB" w:rsidRPr="005B7E9D" w:rsidRDefault="006D60BB" w:rsidP="006D60BB">
            <w:pPr>
              <w:rPr>
                <w:rFonts w:ascii="仿宋_GB2312" w:hAnsi="楷体"/>
                <w:sz w:val="28"/>
                <w:szCs w:val="28"/>
              </w:rPr>
            </w:pPr>
            <w:r w:rsidRPr="006D60BB">
              <w:rPr>
                <w:rFonts w:ascii="仿宋_GB2312" w:hAnsi="楷体" w:hint="eastAsia"/>
                <w:sz w:val="28"/>
                <w:szCs w:val="28"/>
              </w:rPr>
              <w:t>4.-600m水平大巷与胶带暗斜井联络巷处列车通过的风门，没有安设当列车通过时能够发出在风门两侧都能接收</w:t>
            </w:r>
            <w:r w:rsidRPr="006D60BB">
              <w:rPr>
                <w:rFonts w:ascii="仿宋_GB2312" w:hAnsi="楷体" w:hint="eastAsia"/>
                <w:sz w:val="28"/>
                <w:szCs w:val="28"/>
              </w:rPr>
              <w:lastRenderedPageBreak/>
              <w:t>声光信号的装置。不符合《煤矿安全规程》第三百七十七条第三项的规定；5.21300采区回风巷的测风站未设置风速传感器，不符合《煤矿安全监控系统及检测仪器使用管理规范》（AQ1029-2019）7.2的规定；6.21311皮带运输联络巷第二部滚筒驱动带式输送机、21317综放工作面两部滚筒驱动带式输送机机头处未设置防护栏；联络巷行人跨越带式输送机处，没有设过桥，不符合《煤矿安全规程》第三百七十四条第九项的规定</w:t>
            </w:r>
            <w:r>
              <w:rPr>
                <w:rFonts w:ascii="仿宋_GB2312" w:hAnsi="楷体" w:hint="eastAsia"/>
                <w:sz w:val="28"/>
                <w:szCs w:val="28"/>
              </w:rPr>
              <w:t>。</w:t>
            </w:r>
          </w:p>
        </w:tc>
        <w:tc>
          <w:tcPr>
            <w:tcW w:w="2017" w:type="dxa"/>
            <w:vAlign w:val="center"/>
          </w:tcPr>
          <w:p w:rsidR="006D60BB" w:rsidRPr="005B7E9D" w:rsidRDefault="006D60BB" w:rsidP="00EC7794">
            <w:pPr>
              <w:jc w:val="center"/>
              <w:rPr>
                <w:rFonts w:ascii="仿宋_GB2312" w:hAnsi="楷体"/>
                <w:sz w:val="28"/>
                <w:szCs w:val="28"/>
              </w:rPr>
            </w:pPr>
            <w:r w:rsidRPr="006D60BB">
              <w:rPr>
                <w:rFonts w:ascii="仿宋_GB2312" w:hAnsi="楷体" w:hint="eastAsia"/>
                <w:sz w:val="28"/>
                <w:szCs w:val="28"/>
              </w:rPr>
              <w:lastRenderedPageBreak/>
              <w:t>《中华人民共和国安全生产法》第九十九</w:t>
            </w:r>
            <w:r w:rsidRPr="006D60BB">
              <w:rPr>
                <w:rFonts w:ascii="仿宋_GB2312" w:hAnsi="楷体" w:hint="eastAsia"/>
                <w:sz w:val="28"/>
                <w:szCs w:val="28"/>
              </w:rPr>
              <w:lastRenderedPageBreak/>
              <w:t>条第二</w:t>
            </w:r>
            <w:r w:rsidR="00EC7794">
              <w:rPr>
                <w:rFonts w:ascii="仿宋_GB2312" w:hAnsi="楷体" w:hint="eastAsia"/>
                <w:sz w:val="28"/>
                <w:szCs w:val="28"/>
              </w:rPr>
              <w:t>项</w:t>
            </w:r>
          </w:p>
        </w:tc>
        <w:tc>
          <w:tcPr>
            <w:tcW w:w="2019" w:type="dxa"/>
            <w:vAlign w:val="center"/>
          </w:tcPr>
          <w:p w:rsidR="006D60BB" w:rsidRPr="005B7E9D" w:rsidRDefault="006D60BB" w:rsidP="006D60BB">
            <w:pPr>
              <w:jc w:val="center"/>
              <w:rPr>
                <w:rFonts w:ascii="仿宋_GB2312" w:hAnsi="楷体"/>
                <w:sz w:val="28"/>
                <w:szCs w:val="28"/>
              </w:rPr>
            </w:pPr>
            <w:r w:rsidRPr="005B7E9D">
              <w:rPr>
                <w:rFonts w:ascii="仿宋_GB2312" w:hAnsi="楷体" w:hint="eastAsia"/>
                <w:sz w:val="28"/>
                <w:szCs w:val="28"/>
              </w:rPr>
              <w:lastRenderedPageBreak/>
              <w:t>罚款人民币</w:t>
            </w:r>
            <w:r>
              <w:rPr>
                <w:rFonts w:ascii="仿宋_GB2312" w:hAnsi="楷体" w:hint="eastAsia"/>
                <w:sz w:val="28"/>
                <w:szCs w:val="28"/>
              </w:rPr>
              <w:t>五</w:t>
            </w:r>
            <w:r w:rsidRPr="005B7E9D">
              <w:rPr>
                <w:rFonts w:ascii="仿宋_GB2312" w:hAnsi="楷体" w:hint="eastAsia"/>
                <w:sz w:val="28"/>
                <w:szCs w:val="28"/>
              </w:rPr>
              <w:t>万元整</w:t>
            </w:r>
          </w:p>
        </w:tc>
      </w:tr>
      <w:tr w:rsidR="007730CD" w:rsidTr="007B680A">
        <w:trPr>
          <w:trHeight w:val="829"/>
        </w:trPr>
        <w:tc>
          <w:tcPr>
            <w:tcW w:w="704" w:type="dxa"/>
            <w:vMerge/>
          </w:tcPr>
          <w:p w:rsidR="007730CD" w:rsidRPr="005B7E9D" w:rsidRDefault="007730CD" w:rsidP="007730CD">
            <w:pPr>
              <w:rPr>
                <w:rFonts w:ascii="仿宋_GB2312" w:hAnsi="楷体"/>
                <w:sz w:val="28"/>
                <w:szCs w:val="28"/>
              </w:rPr>
            </w:pPr>
          </w:p>
        </w:tc>
        <w:tc>
          <w:tcPr>
            <w:tcW w:w="1843" w:type="dxa"/>
            <w:vMerge/>
          </w:tcPr>
          <w:p w:rsidR="007730CD" w:rsidRPr="005B7E9D" w:rsidRDefault="007730CD" w:rsidP="007730CD">
            <w:pPr>
              <w:rPr>
                <w:rFonts w:ascii="仿宋_GB2312" w:hAnsi="楷体"/>
                <w:sz w:val="28"/>
                <w:szCs w:val="28"/>
              </w:rPr>
            </w:pPr>
          </w:p>
        </w:tc>
        <w:tc>
          <w:tcPr>
            <w:tcW w:w="1276" w:type="dxa"/>
            <w:vMerge/>
          </w:tcPr>
          <w:p w:rsidR="007730CD" w:rsidRPr="005B7E9D" w:rsidRDefault="007730CD" w:rsidP="007730CD">
            <w:pPr>
              <w:rPr>
                <w:rFonts w:ascii="仿宋_GB2312" w:hAnsi="楷体"/>
                <w:sz w:val="28"/>
                <w:szCs w:val="28"/>
              </w:rPr>
            </w:pPr>
          </w:p>
        </w:tc>
        <w:tc>
          <w:tcPr>
            <w:tcW w:w="1417" w:type="dxa"/>
            <w:vMerge/>
          </w:tcPr>
          <w:p w:rsidR="007730CD" w:rsidRPr="005B7E9D" w:rsidRDefault="007730CD" w:rsidP="007730CD">
            <w:pPr>
              <w:rPr>
                <w:rFonts w:ascii="仿宋_GB2312" w:hAnsi="楷体"/>
                <w:sz w:val="28"/>
                <w:szCs w:val="28"/>
              </w:rPr>
            </w:pPr>
          </w:p>
        </w:tc>
        <w:tc>
          <w:tcPr>
            <w:tcW w:w="4845" w:type="dxa"/>
          </w:tcPr>
          <w:p w:rsidR="007730CD" w:rsidRPr="005B7E9D" w:rsidRDefault="007730CD" w:rsidP="007730CD">
            <w:pPr>
              <w:rPr>
                <w:rFonts w:ascii="仿宋_GB2312" w:hAnsi="楷体"/>
                <w:sz w:val="28"/>
                <w:szCs w:val="28"/>
              </w:rPr>
            </w:pPr>
            <w:r w:rsidRPr="006D60BB">
              <w:rPr>
                <w:rFonts w:ascii="仿宋_GB2312" w:hAnsi="楷体" w:hint="eastAsia"/>
                <w:sz w:val="28"/>
                <w:szCs w:val="28"/>
              </w:rPr>
              <w:t>7.21300-5风门处电缆穿过墙壁部分用套管保护，未严密封堵管口。不符合《煤矿安全规程》第四百六十七条的规定；8.21311皮带运输联络巷掘进工作面扒装机转载点、3301综放工作面运输巷两部皮带输送机转载点落差超过0.5m，未安装导向板,不符合《煤矿井</w:t>
            </w:r>
            <w:r w:rsidRPr="006D60BB">
              <w:rPr>
                <w:rFonts w:ascii="仿宋_GB2312" w:hAnsi="楷体" w:hint="eastAsia"/>
                <w:sz w:val="28"/>
                <w:szCs w:val="28"/>
              </w:rPr>
              <w:lastRenderedPageBreak/>
              <w:t>下粉尘综合防治技术规范》(AQ1020-2006)第4.9.1.1的规定；9.-380m胶带暗斜井隔爆水袋之间的间隙与水袋同巷道壁之间的间隙之和大于1.5m，不符合煤矿井下粉尘综合防治技术规范》(AQ1020-2006)第6.5.2.6的规定；10.3301综放工作面、21317综放工作面仅在停采线设置一处“标尺标识”，不符合国家矿山安全监察局山东局 山东省能源局《“标尺标识”动态管控采掘工作面推进速度》（矿安鲁〔2021〕22号发布）第三条的规定；11.-575m水平轨道暗斜井上车场联络巷掘进工作面使用的耙装机支撑腿一侧未固定，不符合《-575m水平轨道暗斜井上车场联络巷作业规程》的规定；12.-600m胶带暗斜井采用架空乘人装置运送人员，未在各乘人站设上下人平台，不符合《煤矿安全规程》第三</w:t>
            </w:r>
            <w:r w:rsidRPr="006D60BB">
              <w:rPr>
                <w:rFonts w:ascii="仿宋_GB2312" w:hAnsi="楷体" w:hint="eastAsia"/>
                <w:sz w:val="28"/>
                <w:szCs w:val="28"/>
              </w:rPr>
              <w:lastRenderedPageBreak/>
              <w:t>百八十三条第五项的规定；13.21317综放工作面油脂库内存放用过的棉纱、布头的铁桶，没有盖，不符合《煤矿安全规程》第二百五十五条第二款的规定</w:t>
            </w:r>
            <w:r>
              <w:rPr>
                <w:rFonts w:ascii="仿宋_GB2312" w:hAnsi="楷体" w:hint="eastAsia"/>
                <w:sz w:val="28"/>
                <w:szCs w:val="28"/>
              </w:rPr>
              <w:t>。</w:t>
            </w:r>
          </w:p>
        </w:tc>
        <w:tc>
          <w:tcPr>
            <w:tcW w:w="2017" w:type="dxa"/>
            <w:vAlign w:val="center"/>
          </w:tcPr>
          <w:p w:rsidR="007730CD" w:rsidRPr="005B7E9D" w:rsidRDefault="007730CD" w:rsidP="007730CD">
            <w:pPr>
              <w:jc w:val="center"/>
              <w:rPr>
                <w:rFonts w:ascii="仿宋_GB2312" w:hAnsi="楷体"/>
                <w:sz w:val="28"/>
                <w:szCs w:val="28"/>
              </w:rPr>
            </w:pPr>
            <w:r w:rsidRPr="00664CC2">
              <w:rPr>
                <w:rFonts w:ascii="仿宋_GB2312" w:hAnsi="楷体" w:hint="eastAsia"/>
                <w:sz w:val="28"/>
                <w:szCs w:val="28"/>
              </w:rPr>
              <w:lastRenderedPageBreak/>
              <w:t>《中华人民共和国安全生产法》第一百零二条</w:t>
            </w:r>
          </w:p>
        </w:tc>
        <w:tc>
          <w:tcPr>
            <w:tcW w:w="2019" w:type="dxa"/>
            <w:vAlign w:val="center"/>
          </w:tcPr>
          <w:p w:rsidR="007730CD" w:rsidRPr="005B7E9D" w:rsidRDefault="007730CD" w:rsidP="007730CD">
            <w:pPr>
              <w:jc w:val="center"/>
              <w:rPr>
                <w:rFonts w:ascii="仿宋_GB2312" w:hAnsi="楷体"/>
                <w:sz w:val="28"/>
                <w:szCs w:val="28"/>
              </w:rPr>
            </w:pPr>
            <w:r w:rsidRPr="00664CC2">
              <w:rPr>
                <w:rFonts w:ascii="仿宋_GB2312" w:hAnsi="楷体" w:hint="eastAsia"/>
                <w:sz w:val="28"/>
                <w:szCs w:val="28"/>
              </w:rPr>
              <w:t>罚款人民币</w:t>
            </w:r>
            <w:r>
              <w:rPr>
                <w:rFonts w:ascii="仿宋_GB2312" w:hAnsi="楷体" w:hint="eastAsia"/>
                <w:sz w:val="28"/>
                <w:szCs w:val="28"/>
              </w:rPr>
              <w:t>五</w:t>
            </w:r>
            <w:r w:rsidRPr="00664CC2">
              <w:rPr>
                <w:rFonts w:ascii="仿宋_GB2312" w:hAnsi="楷体" w:hint="eastAsia"/>
                <w:sz w:val="28"/>
                <w:szCs w:val="28"/>
              </w:rPr>
              <w:t>万元整</w:t>
            </w:r>
          </w:p>
        </w:tc>
      </w:tr>
    </w:tbl>
    <w:p w:rsidR="006D60BB" w:rsidRDefault="006D60BB" w:rsidP="009A5A3B">
      <w:pPr>
        <w:rPr>
          <w:rFonts w:ascii="仿宋_GB2312" w:hAnsi="Arial" w:cs="Arial"/>
          <w:sz w:val="28"/>
        </w:rPr>
        <w:sectPr w:rsidR="006D60BB" w:rsidSect="00D555C7">
          <w:pgSz w:w="16838" w:h="11906" w:orient="landscape"/>
          <w:pgMar w:top="1800" w:right="1440" w:bottom="1800" w:left="1440" w:header="851" w:footer="992" w:gutter="0"/>
          <w:pgNumType w:fmt="numberInDash"/>
          <w:cols w:space="425"/>
          <w:docGrid w:type="lines" w:linePitch="435"/>
        </w:sectPr>
      </w:pPr>
    </w:p>
    <w:p w:rsidR="00FE1C07" w:rsidRPr="005B7E9D" w:rsidRDefault="00FE1C07"/>
    <w:sectPr w:rsidR="00FE1C07" w:rsidRPr="005B7E9D" w:rsidSect="005B7E9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433" w:rsidRDefault="00325433" w:rsidP="005B7E9D">
      <w:r>
        <w:separator/>
      </w:r>
    </w:p>
  </w:endnote>
  <w:endnote w:type="continuationSeparator" w:id="0">
    <w:p w:rsidR="00325433" w:rsidRDefault="00325433" w:rsidP="005B7E9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433" w:rsidRDefault="00325433" w:rsidP="005B7E9D">
      <w:r>
        <w:separator/>
      </w:r>
    </w:p>
  </w:footnote>
  <w:footnote w:type="continuationSeparator" w:id="0">
    <w:p w:rsidR="00325433" w:rsidRDefault="00325433" w:rsidP="005B7E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2B20"/>
    <w:rsid w:val="002C09E6"/>
    <w:rsid w:val="00325433"/>
    <w:rsid w:val="005B7E9D"/>
    <w:rsid w:val="005E5C3A"/>
    <w:rsid w:val="006521DE"/>
    <w:rsid w:val="00664CC2"/>
    <w:rsid w:val="006D60BB"/>
    <w:rsid w:val="007730CD"/>
    <w:rsid w:val="007B680A"/>
    <w:rsid w:val="007C3E40"/>
    <w:rsid w:val="00877D50"/>
    <w:rsid w:val="009A5A3B"/>
    <w:rsid w:val="00CB2B20"/>
    <w:rsid w:val="00EC7794"/>
    <w:rsid w:val="00FA5A81"/>
    <w:rsid w:val="00FE1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E9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E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7E9D"/>
    <w:rPr>
      <w:sz w:val="18"/>
      <w:szCs w:val="18"/>
    </w:rPr>
  </w:style>
  <w:style w:type="paragraph" w:styleId="a4">
    <w:name w:val="footer"/>
    <w:basedOn w:val="a"/>
    <w:link w:val="Char0"/>
    <w:uiPriority w:val="99"/>
    <w:unhideWhenUsed/>
    <w:rsid w:val="005B7E9D"/>
    <w:pPr>
      <w:tabs>
        <w:tab w:val="center" w:pos="4153"/>
        <w:tab w:val="right" w:pos="8306"/>
      </w:tabs>
      <w:snapToGrid w:val="0"/>
      <w:jc w:val="left"/>
    </w:pPr>
    <w:rPr>
      <w:sz w:val="18"/>
      <w:szCs w:val="18"/>
    </w:rPr>
  </w:style>
  <w:style w:type="character" w:customStyle="1" w:styleId="Char0">
    <w:name w:val="页脚 Char"/>
    <w:basedOn w:val="a0"/>
    <w:link w:val="a4"/>
    <w:uiPriority w:val="99"/>
    <w:rsid w:val="005B7E9D"/>
    <w:rPr>
      <w:sz w:val="18"/>
      <w:szCs w:val="18"/>
    </w:rPr>
  </w:style>
  <w:style w:type="table" w:styleId="a5">
    <w:name w:val="Table Grid"/>
    <w:basedOn w:val="a1"/>
    <w:uiPriority w:val="39"/>
    <w:rsid w:val="005B7E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王丽国</dc:creator>
  <cp:keywords/>
  <dc:description/>
  <cp:lastModifiedBy>冯霞</cp:lastModifiedBy>
  <cp:revision>9</cp:revision>
  <dcterms:created xsi:type="dcterms:W3CDTF">2022-05-09T08:39:00Z</dcterms:created>
  <dcterms:modified xsi:type="dcterms:W3CDTF">2022-05-19T01:52:00Z</dcterms:modified>
</cp:coreProperties>
</file>