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7A3" w:rsidRDefault="00E667A3" w:rsidP="00991881">
      <w:pPr>
        <w:spacing w:line="560" w:lineRule="exact"/>
        <w:ind w:firstLine="645"/>
        <w:rPr>
          <w:rFonts w:ascii="仿宋_GB2312" w:hAnsi="仿宋" w:hint="eastAsia"/>
          <w:szCs w:val="32"/>
        </w:rPr>
      </w:pPr>
    </w:p>
    <w:p w:rsidR="00E667A3" w:rsidRDefault="003553CB" w:rsidP="003623EC">
      <w:pPr>
        <w:spacing w:line="800" w:lineRule="exact"/>
      </w:pPr>
      <w:bookmarkStart w:id="0" w:name="_GoBack"/>
      <w:bookmarkEnd w:id="0"/>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7pt;margin-top:-21.5pt;width:447.75pt;height:43.05pt;z-index:251659264" filled="f" stroked="f">
            <v:textbox style="mso-next-textbox:#_x0000_s1026">
              <w:txbxContent>
                <w:p w:rsidR="00E667A3" w:rsidRPr="00BA3179" w:rsidRDefault="00E667A3" w:rsidP="006305F0">
                  <w:pPr>
                    <w:spacing w:line="800" w:lineRule="exact"/>
                    <w:jc w:val="center"/>
                    <w:rPr>
                      <w:rFonts w:ascii="方正大标宋简体" w:eastAsia="方正大标宋简体" w:hAnsi="宋体"/>
                      <w:bCs/>
                      <w:color w:val="FFFFFF" w:themeColor="background1"/>
                      <w:w w:val="90"/>
                      <w:sz w:val="72"/>
                      <w:szCs w:val="72"/>
                    </w:rPr>
                  </w:pPr>
                  <w:r w:rsidRPr="00BA3179">
                    <w:rPr>
                      <w:rFonts w:ascii="方正大标宋简体" w:eastAsia="方正大标宋简体" w:hAnsi="宋体" w:hint="eastAsia"/>
                      <w:bCs/>
                      <w:color w:val="FFFFFF" w:themeColor="background1"/>
                      <w:spacing w:val="-10"/>
                      <w:w w:val="90"/>
                      <w:kern w:val="0"/>
                      <w:sz w:val="72"/>
                      <w:szCs w:val="72"/>
                    </w:rPr>
                    <w:t xml:space="preserve">山 东 煤 矿 安 全 监 </w:t>
                  </w:r>
                  <w:r w:rsidRPr="00BA3179">
                    <w:rPr>
                      <w:rFonts w:ascii="方正大标宋简体" w:eastAsia="方正大标宋简体" w:hAnsi="宋体" w:hint="eastAsia"/>
                      <w:bCs/>
                      <w:color w:val="FFFFFF" w:themeColor="background1"/>
                      <w:spacing w:val="-10"/>
                      <w:w w:val="90"/>
                      <w:sz w:val="72"/>
                      <w:szCs w:val="72"/>
                    </w:rPr>
                    <w:t>察</w:t>
                  </w:r>
                  <w:r w:rsidRPr="00BA3179">
                    <w:rPr>
                      <w:rFonts w:ascii="方正大标宋简体" w:eastAsia="方正大标宋简体" w:hAnsi="宋体" w:hint="eastAsia"/>
                      <w:bCs/>
                      <w:color w:val="FFFFFF" w:themeColor="background1"/>
                      <w:w w:val="90"/>
                      <w:sz w:val="72"/>
                      <w:szCs w:val="72"/>
                    </w:rPr>
                    <w:t xml:space="preserve"> 局</w:t>
                  </w:r>
                </w:p>
                <w:p w:rsidR="00E667A3" w:rsidRPr="006830D5" w:rsidRDefault="00E667A3" w:rsidP="00214B99">
                  <w:pPr>
                    <w:jc w:val="center"/>
                    <w:rPr>
                      <w:rFonts w:ascii="方正大标宋简体" w:eastAsia="方正大标宋简体" w:hAnsi="宋体"/>
                      <w:w w:val="88"/>
                      <w:sz w:val="72"/>
                      <w:szCs w:val="72"/>
                    </w:rPr>
                  </w:pPr>
                </w:p>
              </w:txbxContent>
            </v:textbox>
          </v:shape>
        </w:pict>
      </w:r>
    </w:p>
    <w:p w:rsidR="00E667A3" w:rsidRDefault="00E667A3" w:rsidP="00E76A67">
      <w:pPr>
        <w:jc w:val="right"/>
      </w:pPr>
    </w:p>
    <w:p w:rsidR="00E667A3" w:rsidRDefault="00E667A3" w:rsidP="006830D5"/>
    <w:p w:rsidR="00E667A3" w:rsidRPr="00B10D48" w:rsidRDefault="00E667A3" w:rsidP="00FB60CE">
      <w:pPr>
        <w:spacing w:line="700" w:lineRule="exact"/>
        <w:jc w:val="center"/>
        <w:rPr>
          <w:rFonts w:ascii="宋体" w:eastAsia="宋体" w:hAnsi="宋体"/>
          <w:sz w:val="52"/>
          <w:szCs w:val="52"/>
        </w:rPr>
      </w:pPr>
      <w:bookmarkStart w:id="1" w:name="标题"/>
      <w:r w:rsidRPr="00B10D48">
        <w:rPr>
          <w:rFonts w:ascii="宋体" w:eastAsia="宋体" w:hAnsi="宋体" w:hint="eastAsia"/>
          <w:sz w:val="52"/>
          <w:szCs w:val="52"/>
        </w:rPr>
        <w:t>山东煤矿安全监察局公告</w:t>
      </w:r>
      <w:bookmarkEnd w:id="1"/>
    </w:p>
    <w:p w:rsidR="00E667A3" w:rsidRPr="00B10D48" w:rsidRDefault="00B10D48" w:rsidP="00B10D48">
      <w:pPr>
        <w:jc w:val="center"/>
        <w:rPr>
          <w:rFonts w:ascii="仿宋_GB2312"/>
        </w:rPr>
      </w:pPr>
      <w:r w:rsidRPr="00B10D48">
        <w:rPr>
          <w:rFonts w:ascii="仿宋_GB2312" w:hint="eastAsia"/>
        </w:rPr>
        <w:t>2020年第20号</w:t>
      </w:r>
    </w:p>
    <w:p w:rsidR="00E667A3" w:rsidRPr="00B10D48" w:rsidRDefault="00E667A3" w:rsidP="00B10D48">
      <w:pPr>
        <w:spacing w:line="600" w:lineRule="exact"/>
        <w:rPr>
          <w:sz w:val="30"/>
          <w:szCs w:val="30"/>
        </w:rPr>
      </w:pPr>
      <w:bookmarkStart w:id="2" w:name="主送"/>
      <w:bookmarkEnd w:id="2"/>
    </w:p>
    <w:p w:rsidR="00991881" w:rsidRPr="00B10D48" w:rsidRDefault="00991881" w:rsidP="00B10D48">
      <w:pPr>
        <w:spacing w:line="600" w:lineRule="exact"/>
        <w:ind w:firstLine="645"/>
        <w:rPr>
          <w:rFonts w:ascii="仿宋_GB2312" w:hAnsi="仿宋"/>
          <w:sz w:val="30"/>
          <w:szCs w:val="30"/>
        </w:rPr>
      </w:pPr>
      <w:r w:rsidRPr="00B10D48">
        <w:rPr>
          <w:rFonts w:ascii="仿宋_GB2312" w:hAnsi="仿宋" w:hint="eastAsia"/>
          <w:sz w:val="30"/>
          <w:szCs w:val="30"/>
        </w:rPr>
        <w:t>根据《中华人民共和国政府信息公开条例》（国务院令第492号）、《国务院办公厅关于加强安全生产监管执法的通知》（国办发</w:t>
      </w:r>
      <w:r w:rsidRPr="00B10D48">
        <w:rPr>
          <w:rFonts w:ascii="仿宋_GB2312" w:hAnsi="宋体" w:cs="宋体" w:hint="eastAsia"/>
          <w:kern w:val="0"/>
          <w:sz w:val="30"/>
          <w:szCs w:val="30"/>
        </w:rPr>
        <w:t>〔2015〕</w:t>
      </w:r>
      <w:r w:rsidRPr="00B10D48">
        <w:rPr>
          <w:rFonts w:ascii="仿宋_GB2312" w:hAnsi="仿宋" w:hint="eastAsia"/>
          <w:sz w:val="30"/>
          <w:szCs w:val="30"/>
        </w:rPr>
        <w:t>20号）、《山东煤矿安全监察执法决定信息公开办法》（</w:t>
      </w:r>
      <w:proofErr w:type="gramStart"/>
      <w:r w:rsidRPr="00B10D48">
        <w:rPr>
          <w:rFonts w:ascii="仿宋_GB2312" w:hAnsi="仿宋" w:hint="eastAsia"/>
          <w:sz w:val="30"/>
          <w:szCs w:val="30"/>
        </w:rPr>
        <w:t>鲁煤监办</w:t>
      </w:r>
      <w:proofErr w:type="gramEnd"/>
      <w:r w:rsidRPr="00B10D48">
        <w:rPr>
          <w:rFonts w:ascii="仿宋_GB2312" w:hAnsi="宋体" w:cs="宋体" w:hint="eastAsia"/>
          <w:kern w:val="0"/>
          <w:sz w:val="30"/>
          <w:szCs w:val="30"/>
        </w:rPr>
        <w:t>〔2015〕56</w:t>
      </w:r>
      <w:r w:rsidRPr="00B10D48">
        <w:rPr>
          <w:rFonts w:ascii="仿宋_GB2312" w:hAnsi="仿宋" w:hint="eastAsia"/>
          <w:sz w:val="30"/>
          <w:szCs w:val="30"/>
        </w:rPr>
        <w:t>号）和《山东煤矿安全监察局办公室关于做好行政执法决定公示工作的通知》（</w:t>
      </w:r>
      <w:proofErr w:type="gramStart"/>
      <w:r w:rsidRPr="00B10D48">
        <w:rPr>
          <w:rFonts w:ascii="仿宋_GB2312" w:hAnsi="仿宋" w:hint="eastAsia"/>
          <w:sz w:val="30"/>
          <w:szCs w:val="30"/>
        </w:rPr>
        <w:t>鲁煤监办</w:t>
      </w:r>
      <w:proofErr w:type="gramEnd"/>
      <w:r w:rsidRPr="00B10D48">
        <w:rPr>
          <w:rFonts w:ascii="仿宋_GB2312" w:hAnsi="仿宋" w:hint="eastAsia"/>
          <w:sz w:val="30"/>
          <w:szCs w:val="30"/>
        </w:rPr>
        <w:t>政法</w:t>
      </w:r>
      <w:r w:rsidRPr="00B10D48">
        <w:rPr>
          <w:rFonts w:ascii="仿宋_GB2312" w:hAnsi="宋体" w:cs="宋体" w:hint="eastAsia"/>
          <w:kern w:val="0"/>
          <w:sz w:val="30"/>
          <w:szCs w:val="30"/>
        </w:rPr>
        <w:t>〔201</w:t>
      </w:r>
      <w:r w:rsidRPr="00B10D48">
        <w:rPr>
          <w:rFonts w:ascii="仿宋_GB2312" w:hAnsi="宋体" w:cs="宋体"/>
          <w:kern w:val="0"/>
          <w:sz w:val="30"/>
          <w:szCs w:val="30"/>
        </w:rPr>
        <w:t>9</w:t>
      </w:r>
      <w:r w:rsidRPr="00B10D48">
        <w:rPr>
          <w:rFonts w:ascii="仿宋_GB2312" w:hAnsi="宋体" w:cs="宋体" w:hint="eastAsia"/>
          <w:kern w:val="0"/>
          <w:sz w:val="30"/>
          <w:szCs w:val="30"/>
        </w:rPr>
        <w:t>〕</w:t>
      </w:r>
      <w:r w:rsidRPr="00B10D48">
        <w:rPr>
          <w:rFonts w:ascii="仿宋_GB2312" w:hAnsi="宋体" w:cs="宋体"/>
          <w:kern w:val="0"/>
          <w:sz w:val="30"/>
          <w:szCs w:val="30"/>
        </w:rPr>
        <w:t>7</w:t>
      </w:r>
      <w:r w:rsidRPr="00B10D48">
        <w:rPr>
          <w:rFonts w:ascii="仿宋_GB2312" w:hAnsi="仿宋" w:hint="eastAsia"/>
          <w:sz w:val="30"/>
          <w:szCs w:val="30"/>
        </w:rPr>
        <w:t>号），现将</w:t>
      </w:r>
      <w:r w:rsidR="009F0743" w:rsidRPr="00B10D48">
        <w:rPr>
          <w:rFonts w:ascii="仿宋_GB2312" w:hAnsi="仿宋" w:hint="eastAsia"/>
          <w:sz w:val="30"/>
          <w:szCs w:val="30"/>
        </w:rPr>
        <w:t>20</w:t>
      </w:r>
      <w:r w:rsidR="009F0743" w:rsidRPr="00B10D48">
        <w:rPr>
          <w:rFonts w:ascii="仿宋_GB2312" w:hAnsi="仿宋"/>
          <w:sz w:val="30"/>
          <w:szCs w:val="30"/>
        </w:rPr>
        <w:t>20</w:t>
      </w:r>
      <w:r w:rsidR="009F0743" w:rsidRPr="00B10D48">
        <w:rPr>
          <w:rFonts w:ascii="仿宋_GB2312" w:hAnsi="仿宋" w:hint="eastAsia"/>
          <w:sz w:val="30"/>
          <w:szCs w:val="30"/>
        </w:rPr>
        <w:t>年</w:t>
      </w:r>
      <w:r w:rsidR="00755D7B" w:rsidRPr="00B10D48">
        <w:rPr>
          <w:rFonts w:ascii="仿宋_GB2312" w:hAnsi="仿宋"/>
          <w:sz w:val="30"/>
          <w:szCs w:val="30"/>
        </w:rPr>
        <w:t>11</w:t>
      </w:r>
      <w:r w:rsidRPr="00B10D48">
        <w:rPr>
          <w:rFonts w:ascii="仿宋_GB2312" w:hAnsi="仿宋" w:hint="eastAsia"/>
          <w:sz w:val="30"/>
          <w:szCs w:val="30"/>
        </w:rPr>
        <w:t>月</w:t>
      </w:r>
      <w:r w:rsidR="00755D7B" w:rsidRPr="00B10D48">
        <w:rPr>
          <w:rFonts w:ascii="仿宋_GB2312" w:hAnsi="仿宋"/>
          <w:sz w:val="30"/>
          <w:szCs w:val="30"/>
        </w:rPr>
        <w:t>5</w:t>
      </w:r>
      <w:r w:rsidR="007F1C69" w:rsidRPr="00B10D48">
        <w:rPr>
          <w:rFonts w:ascii="仿宋_GB2312" w:hAnsi="仿宋" w:hint="eastAsia"/>
          <w:sz w:val="30"/>
          <w:szCs w:val="30"/>
        </w:rPr>
        <w:t>日</w:t>
      </w:r>
      <w:r w:rsidRPr="00B10D48">
        <w:rPr>
          <w:rFonts w:ascii="仿宋_GB2312" w:hAnsi="仿宋" w:hint="eastAsia"/>
          <w:sz w:val="30"/>
          <w:szCs w:val="30"/>
        </w:rPr>
        <w:t>煤矿安全监察执法决定信息（除涉及国家秘密、商业秘密和个人隐私外）予以公开，并接受社会监督。</w:t>
      </w:r>
    </w:p>
    <w:p w:rsidR="00991881" w:rsidRPr="00B10D48" w:rsidRDefault="00991881" w:rsidP="00B10D48">
      <w:pPr>
        <w:spacing w:line="600" w:lineRule="exact"/>
        <w:ind w:firstLine="630"/>
        <w:rPr>
          <w:kern w:val="0"/>
          <w:sz w:val="30"/>
          <w:szCs w:val="30"/>
        </w:rPr>
      </w:pPr>
      <w:r w:rsidRPr="00B10D48">
        <w:rPr>
          <w:rFonts w:hint="eastAsia"/>
          <w:kern w:val="0"/>
          <w:sz w:val="30"/>
          <w:szCs w:val="30"/>
        </w:rPr>
        <w:t>特此公告。</w:t>
      </w:r>
    </w:p>
    <w:p w:rsidR="00991881" w:rsidRPr="00B10D48" w:rsidRDefault="00991881" w:rsidP="00B10D48">
      <w:pPr>
        <w:spacing w:line="600" w:lineRule="exact"/>
        <w:ind w:firstLine="630"/>
        <w:rPr>
          <w:kern w:val="0"/>
          <w:sz w:val="30"/>
          <w:szCs w:val="30"/>
        </w:rPr>
      </w:pPr>
    </w:p>
    <w:p w:rsidR="00991881" w:rsidRPr="00B10D48" w:rsidRDefault="00991881" w:rsidP="00B10D48">
      <w:pPr>
        <w:spacing w:line="600" w:lineRule="exact"/>
        <w:ind w:firstLine="645"/>
        <w:rPr>
          <w:rFonts w:ascii="仿宋_GB2312" w:hAnsi="仿宋"/>
          <w:sz w:val="30"/>
          <w:szCs w:val="30"/>
        </w:rPr>
      </w:pPr>
      <w:r w:rsidRPr="00B10D48">
        <w:rPr>
          <w:rFonts w:ascii="仿宋_GB2312" w:hAnsi="仿宋" w:hint="eastAsia"/>
          <w:sz w:val="30"/>
          <w:szCs w:val="30"/>
        </w:rPr>
        <w:t>附件：煤矿安全监察行政执法决定信息公开表</w:t>
      </w:r>
    </w:p>
    <w:p w:rsidR="00991881" w:rsidRPr="00B10D48" w:rsidRDefault="00991881" w:rsidP="00B10D48">
      <w:pPr>
        <w:spacing w:line="600" w:lineRule="exact"/>
        <w:ind w:firstLine="630"/>
        <w:rPr>
          <w:kern w:val="0"/>
          <w:sz w:val="30"/>
          <w:szCs w:val="30"/>
        </w:rPr>
      </w:pPr>
    </w:p>
    <w:p w:rsidR="00991881" w:rsidRPr="00B10D48" w:rsidRDefault="00991881" w:rsidP="00B10D48">
      <w:pPr>
        <w:spacing w:line="600" w:lineRule="exact"/>
        <w:ind w:firstLine="630"/>
        <w:rPr>
          <w:kern w:val="0"/>
          <w:sz w:val="30"/>
          <w:szCs w:val="30"/>
        </w:rPr>
      </w:pPr>
    </w:p>
    <w:p w:rsidR="00991881" w:rsidRPr="00B10D48" w:rsidRDefault="00991881" w:rsidP="00E24D79">
      <w:pPr>
        <w:spacing w:line="600" w:lineRule="exact"/>
        <w:ind w:firstLineChars="1399" w:firstLine="4670"/>
        <w:rPr>
          <w:sz w:val="30"/>
          <w:szCs w:val="30"/>
        </w:rPr>
      </w:pPr>
      <w:r w:rsidRPr="00B10D48">
        <w:rPr>
          <w:rFonts w:hint="eastAsia"/>
          <w:sz w:val="30"/>
          <w:szCs w:val="30"/>
        </w:rPr>
        <w:t>山东煤矿安全监察局</w:t>
      </w:r>
    </w:p>
    <w:p w:rsidR="00B10D48" w:rsidRDefault="00755D7B" w:rsidP="00E24D79">
      <w:pPr>
        <w:spacing w:line="500" w:lineRule="exact"/>
        <w:ind w:firstLineChars="1443" w:firstLine="4817"/>
        <w:rPr>
          <w:rFonts w:ascii="仿宋_GB2312" w:hAnsi="仿宋"/>
          <w:sz w:val="30"/>
          <w:szCs w:val="30"/>
        </w:rPr>
      </w:pPr>
      <w:r w:rsidRPr="00B10D48">
        <w:rPr>
          <w:rFonts w:ascii="仿宋_GB2312" w:hAnsi="仿宋" w:hint="eastAsia"/>
          <w:sz w:val="30"/>
          <w:szCs w:val="30"/>
        </w:rPr>
        <w:t>20</w:t>
      </w:r>
      <w:r w:rsidRPr="00B10D48">
        <w:rPr>
          <w:rFonts w:ascii="仿宋_GB2312" w:hAnsi="仿宋"/>
          <w:sz w:val="30"/>
          <w:szCs w:val="30"/>
        </w:rPr>
        <w:t>20年11</w:t>
      </w:r>
      <w:r w:rsidR="00991881" w:rsidRPr="00B10D48">
        <w:rPr>
          <w:rFonts w:ascii="仿宋_GB2312" w:hAnsi="仿宋"/>
          <w:sz w:val="30"/>
          <w:szCs w:val="30"/>
        </w:rPr>
        <w:t>月</w:t>
      </w:r>
      <w:r w:rsidR="00E24D79">
        <w:rPr>
          <w:rFonts w:ascii="仿宋_GB2312" w:hAnsi="仿宋" w:hint="eastAsia"/>
          <w:sz w:val="30"/>
          <w:szCs w:val="30"/>
        </w:rPr>
        <w:t>10</w:t>
      </w:r>
      <w:r w:rsidR="00991881" w:rsidRPr="00B10D48">
        <w:rPr>
          <w:rFonts w:ascii="仿宋_GB2312" w:hAnsi="仿宋"/>
          <w:sz w:val="30"/>
          <w:szCs w:val="30"/>
        </w:rPr>
        <w:t>日</w:t>
      </w:r>
    </w:p>
    <w:p w:rsidR="00B10D48" w:rsidRPr="009E701E" w:rsidRDefault="003553CB" w:rsidP="009677A0">
      <w:pPr>
        <w:spacing w:line="500" w:lineRule="exact"/>
        <w:ind w:firstLineChars="100" w:firstLine="354"/>
        <w:rPr>
          <w:rFonts w:ascii="仿宋_GB2312"/>
          <w:sz w:val="28"/>
          <w:szCs w:val="28"/>
        </w:rPr>
      </w:pPr>
      <w:r>
        <w:rPr>
          <w:noProof/>
        </w:rPr>
        <w:pict>
          <v:line id="_x0000_s1028" style="position:absolute;left:0;text-align:left;z-index:251661312" from="-30.15pt,34.75pt" to="459.45pt,34.75pt" strokecolor="red" strokeweight="4.5pt">
            <v:stroke linestyle="thinThick"/>
          </v:line>
        </w:pict>
      </w:r>
      <w:r w:rsidR="00B10D48" w:rsidRPr="009E701E">
        <w:rPr>
          <w:rFonts w:ascii="仿宋_GB2312" w:hint="eastAsia"/>
          <w:sz w:val="28"/>
          <w:szCs w:val="28"/>
        </w:rPr>
        <w:t>本局：</w:t>
      </w:r>
      <w:r w:rsidR="00B10D48">
        <w:rPr>
          <w:rFonts w:ascii="仿宋_GB2312" w:hint="eastAsia"/>
          <w:sz w:val="28"/>
          <w:szCs w:val="28"/>
        </w:rPr>
        <w:t>局领导，机关各处室、各监察分局、信息计算中心。</w:t>
      </w:r>
    </w:p>
    <w:p w:rsidR="00991881" w:rsidRPr="00B10D48" w:rsidRDefault="00991881" w:rsidP="00B10D48">
      <w:pPr>
        <w:ind w:firstLineChars="300" w:firstLine="1065"/>
        <w:rPr>
          <w:b/>
        </w:rPr>
        <w:sectPr w:rsidR="00991881" w:rsidRPr="00B10D48" w:rsidSect="00B10D48">
          <w:pgSz w:w="11907" w:h="16840" w:code="9"/>
          <w:pgMar w:top="1701" w:right="1474" w:bottom="1134" w:left="1588" w:header="851" w:footer="1247" w:gutter="0"/>
          <w:cols w:space="720"/>
          <w:titlePg/>
          <w:docGrid w:type="linesAndChars" w:linePitch="636" w:charSpace="6922"/>
        </w:sectPr>
      </w:pPr>
    </w:p>
    <w:p w:rsidR="00991881" w:rsidRPr="00B10D48" w:rsidRDefault="00991881" w:rsidP="00991881">
      <w:pPr>
        <w:widowControl/>
        <w:adjustRightInd w:val="0"/>
        <w:snapToGrid w:val="0"/>
        <w:rPr>
          <w:rFonts w:ascii="黑体" w:eastAsia="黑体" w:hAnsi="黑体"/>
          <w:sz w:val="30"/>
          <w:szCs w:val="30"/>
        </w:rPr>
      </w:pPr>
      <w:r w:rsidRPr="00B10D48">
        <w:rPr>
          <w:rFonts w:ascii="黑体" w:eastAsia="黑体" w:hAnsi="黑体" w:hint="eastAsia"/>
          <w:sz w:val="30"/>
          <w:szCs w:val="30"/>
        </w:rPr>
        <w:lastRenderedPageBreak/>
        <w:t>附件</w:t>
      </w:r>
    </w:p>
    <w:p w:rsidR="00991881" w:rsidRPr="00B10D48" w:rsidRDefault="00991881" w:rsidP="00991881">
      <w:pPr>
        <w:widowControl/>
        <w:adjustRightInd w:val="0"/>
        <w:snapToGrid w:val="0"/>
        <w:jc w:val="center"/>
        <w:rPr>
          <w:rFonts w:ascii="方正小标宋简体" w:eastAsia="方正小标宋简体" w:hAnsi="宋体" w:cs="宋体"/>
          <w:bCs/>
          <w:kern w:val="0"/>
          <w:sz w:val="40"/>
          <w:szCs w:val="40"/>
        </w:rPr>
      </w:pPr>
      <w:r w:rsidRPr="00B10D48">
        <w:rPr>
          <w:rFonts w:ascii="方正小标宋简体" w:eastAsia="方正小标宋简体" w:hAnsi="宋体" w:cs="宋体" w:hint="eastAsia"/>
          <w:bCs/>
          <w:kern w:val="0"/>
          <w:sz w:val="40"/>
          <w:szCs w:val="40"/>
        </w:rPr>
        <w:t>煤矿安全监察行政执法决定信息公开表</w:t>
      </w:r>
    </w:p>
    <w:tbl>
      <w:tblPr>
        <w:tblW w:w="14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863"/>
        <w:gridCol w:w="880"/>
        <w:gridCol w:w="1442"/>
        <w:gridCol w:w="6237"/>
        <w:gridCol w:w="1417"/>
        <w:gridCol w:w="1984"/>
        <w:gridCol w:w="1276"/>
      </w:tblGrid>
      <w:tr w:rsidR="00991881" w:rsidRPr="00E52993" w:rsidTr="0023558A">
        <w:trPr>
          <w:trHeight w:val="936"/>
          <w:tblHeader/>
          <w:jc w:val="center"/>
        </w:trPr>
        <w:tc>
          <w:tcPr>
            <w:tcW w:w="379"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序</w:t>
            </w:r>
          </w:p>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号</w:t>
            </w:r>
          </w:p>
        </w:tc>
        <w:tc>
          <w:tcPr>
            <w:tcW w:w="863"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执法决定</w:t>
            </w:r>
          </w:p>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日期</w:t>
            </w:r>
          </w:p>
        </w:tc>
        <w:tc>
          <w:tcPr>
            <w:tcW w:w="880"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执法主体</w:t>
            </w:r>
          </w:p>
        </w:tc>
        <w:tc>
          <w:tcPr>
            <w:tcW w:w="1442"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执法相对人</w:t>
            </w:r>
          </w:p>
        </w:tc>
        <w:tc>
          <w:tcPr>
            <w:tcW w:w="6237"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主要违法违规事实</w:t>
            </w:r>
          </w:p>
        </w:tc>
        <w:tc>
          <w:tcPr>
            <w:tcW w:w="1417" w:type="dxa"/>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违反法律</w:t>
            </w:r>
            <w:r w:rsidR="00862A03">
              <w:rPr>
                <w:rFonts w:ascii="黑体" w:eastAsia="黑体" w:hAnsi="黑体" w:hint="eastAsia"/>
                <w:sz w:val="24"/>
              </w:rPr>
              <w:t xml:space="preserve"> </w:t>
            </w:r>
            <w:r w:rsidRPr="009677A0">
              <w:rPr>
                <w:rFonts w:ascii="黑体" w:eastAsia="黑体" w:hAnsi="黑体" w:hint="eastAsia"/>
                <w:sz w:val="24"/>
              </w:rPr>
              <w:t>法规</w:t>
            </w:r>
          </w:p>
        </w:tc>
        <w:tc>
          <w:tcPr>
            <w:tcW w:w="1984"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处理依据</w:t>
            </w:r>
          </w:p>
        </w:tc>
        <w:tc>
          <w:tcPr>
            <w:tcW w:w="1276" w:type="dxa"/>
            <w:shd w:val="clear" w:color="auto" w:fill="auto"/>
            <w:vAlign w:val="center"/>
          </w:tcPr>
          <w:p w:rsidR="00991881" w:rsidRPr="009677A0" w:rsidRDefault="00991881" w:rsidP="00492A9A">
            <w:pPr>
              <w:adjustRightInd w:val="0"/>
              <w:snapToGrid w:val="0"/>
              <w:jc w:val="center"/>
              <w:rPr>
                <w:rFonts w:ascii="黑体" w:eastAsia="黑体" w:hAnsi="黑体"/>
                <w:sz w:val="24"/>
              </w:rPr>
            </w:pPr>
            <w:r w:rsidRPr="009677A0">
              <w:rPr>
                <w:rFonts w:ascii="黑体" w:eastAsia="黑体" w:hAnsi="黑体" w:hint="eastAsia"/>
                <w:sz w:val="24"/>
              </w:rPr>
              <w:t>处理决定内容</w:t>
            </w:r>
          </w:p>
        </w:tc>
      </w:tr>
      <w:tr w:rsidR="004002EC" w:rsidRPr="00FC2668" w:rsidTr="0023558A">
        <w:trPr>
          <w:trHeight w:val="298"/>
          <w:jc w:val="center"/>
        </w:trPr>
        <w:tc>
          <w:tcPr>
            <w:tcW w:w="379" w:type="dxa"/>
            <w:vAlign w:val="center"/>
          </w:tcPr>
          <w:p w:rsidR="004002EC" w:rsidRDefault="004002EC" w:rsidP="004002EC">
            <w:pPr>
              <w:rPr>
                <w:rFonts w:ascii="仿宋_GB2312"/>
                <w:sz w:val="24"/>
                <w:szCs w:val="24"/>
              </w:rPr>
            </w:pPr>
            <w:r>
              <w:rPr>
                <w:rFonts w:ascii="仿宋_GB2312"/>
                <w:sz w:val="24"/>
                <w:szCs w:val="24"/>
              </w:rPr>
              <w:t>1</w:t>
            </w:r>
          </w:p>
        </w:tc>
        <w:tc>
          <w:tcPr>
            <w:tcW w:w="863" w:type="dxa"/>
            <w:vAlign w:val="center"/>
          </w:tcPr>
          <w:p w:rsidR="004002EC" w:rsidRPr="00862A03" w:rsidRDefault="009F0743" w:rsidP="004002EC">
            <w:pPr>
              <w:rPr>
                <w:rFonts w:ascii="仿宋_GB2312" w:hAnsi="仿宋"/>
                <w:color w:val="000000"/>
                <w:spacing w:val="-22"/>
                <w:sz w:val="21"/>
                <w:szCs w:val="21"/>
              </w:rPr>
            </w:pPr>
            <w:r w:rsidRPr="00862A03">
              <w:rPr>
                <w:rFonts w:ascii="仿宋_GB2312" w:hAnsi="仿宋" w:hint="eastAsia"/>
                <w:color w:val="000000"/>
                <w:spacing w:val="-10"/>
                <w:sz w:val="21"/>
                <w:szCs w:val="21"/>
              </w:rPr>
              <w:t>20</w:t>
            </w:r>
            <w:r w:rsidRPr="00862A03">
              <w:rPr>
                <w:rFonts w:ascii="仿宋_GB2312" w:hAnsi="仿宋"/>
                <w:color w:val="000000"/>
                <w:spacing w:val="-10"/>
                <w:sz w:val="21"/>
                <w:szCs w:val="21"/>
              </w:rPr>
              <w:t>20</w:t>
            </w:r>
            <w:r w:rsidRPr="00862A03">
              <w:rPr>
                <w:rFonts w:ascii="仿宋_GB2312" w:hAnsi="仿宋" w:hint="eastAsia"/>
                <w:color w:val="000000"/>
                <w:spacing w:val="-10"/>
                <w:sz w:val="21"/>
                <w:szCs w:val="21"/>
              </w:rPr>
              <w:t>年</w:t>
            </w:r>
            <w:r w:rsidR="00755D7B" w:rsidRPr="00862A03">
              <w:rPr>
                <w:rFonts w:ascii="仿宋_GB2312" w:hAnsi="仿宋"/>
                <w:color w:val="000000"/>
                <w:spacing w:val="-22"/>
                <w:sz w:val="21"/>
                <w:szCs w:val="21"/>
              </w:rPr>
              <w:t>11</w:t>
            </w:r>
            <w:r w:rsidR="004002EC" w:rsidRPr="00862A03">
              <w:rPr>
                <w:rFonts w:ascii="仿宋_GB2312" w:hAnsi="仿宋" w:hint="eastAsia"/>
                <w:color w:val="000000"/>
                <w:spacing w:val="-22"/>
                <w:sz w:val="21"/>
                <w:szCs w:val="21"/>
              </w:rPr>
              <w:t>月</w:t>
            </w:r>
            <w:r w:rsidR="00755D7B" w:rsidRPr="00862A03">
              <w:rPr>
                <w:rFonts w:ascii="仿宋_GB2312" w:hAnsi="仿宋"/>
                <w:color w:val="000000"/>
                <w:spacing w:val="-22"/>
                <w:sz w:val="21"/>
                <w:szCs w:val="21"/>
              </w:rPr>
              <w:t>5</w:t>
            </w:r>
            <w:r w:rsidR="004002EC" w:rsidRPr="00862A03">
              <w:rPr>
                <w:rFonts w:ascii="仿宋_GB2312" w:hAnsi="仿宋" w:hint="eastAsia"/>
                <w:color w:val="000000"/>
                <w:spacing w:val="-22"/>
                <w:sz w:val="21"/>
                <w:szCs w:val="21"/>
              </w:rPr>
              <w:t>日</w:t>
            </w:r>
          </w:p>
          <w:p w:rsidR="004002EC" w:rsidRPr="0093400D" w:rsidRDefault="004002EC" w:rsidP="004002EC">
            <w:pPr>
              <w:rPr>
                <w:rFonts w:ascii="仿宋_GB2312" w:hAnsi="仿宋"/>
                <w:color w:val="000000"/>
                <w:sz w:val="21"/>
                <w:szCs w:val="21"/>
              </w:rPr>
            </w:pPr>
          </w:p>
        </w:tc>
        <w:tc>
          <w:tcPr>
            <w:tcW w:w="880" w:type="dxa"/>
            <w:vAlign w:val="center"/>
          </w:tcPr>
          <w:p w:rsidR="004002EC" w:rsidRDefault="004002EC" w:rsidP="004002EC">
            <w:pPr>
              <w:rPr>
                <w:rFonts w:ascii="仿宋_GB2312" w:hAnsi="仿宋"/>
                <w:color w:val="000000"/>
                <w:sz w:val="24"/>
                <w:szCs w:val="24"/>
              </w:rPr>
            </w:pPr>
            <w:r>
              <w:rPr>
                <w:rFonts w:ascii="仿宋_GB2312" w:hAnsi="仿宋" w:hint="eastAsia"/>
                <w:color w:val="000000"/>
                <w:sz w:val="24"/>
                <w:szCs w:val="24"/>
              </w:rPr>
              <w:t>山东煤矿安全监察局</w:t>
            </w:r>
          </w:p>
        </w:tc>
        <w:tc>
          <w:tcPr>
            <w:tcW w:w="1442" w:type="dxa"/>
            <w:vAlign w:val="center"/>
          </w:tcPr>
          <w:p w:rsidR="004002EC" w:rsidRPr="00745E14" w:rsidRDefault="00755D7B" w:rsidP="004002EC">
            <w:pPr>
              <w:rPr>
                <w:rFonts w:ascii="仿宋_GB2312" w:hAnsi="仿宋"/>
                <w:color w:val="000000"/>
                <w:sz w:val="24"/>
                <w:szCs w:val="24"/>
              </w:rPr>
            </w:pPr>
            <w:r>
              <w:rPr>
                <w:rFonts w:ascii="仿宋_GB2312" w:hAnsi="仿宋" w:hint="eastAsia"/>
                <w:color w:val="000000"/>
                <w:sz w:val="24"/>
                <w:szCs w:val="24"/>
              </w:rPr>
              <w:t>兖煤菏泽能化有限公司赵楼煤矿</w:t>
            </w:r>
          </w:p>
        </w:tc>
        <w:tc>
          <w:tcPr>
            <w:tcW w:w="6237" w:type="dxa"/>
            <w:vAlign w:val="center"/>
          </w:tcPr>
          <w:p w:rsidR="004002EC" w:rsidRPr="00755D7B" w:rsidRDefault="00755D7B">
            <w:pPr>
              <w:rPr>
                <w:rFonts w:ascii="仿宋_GB2312" w:hAnsi="仿宋"/>
                <w:color w:val="000000"/>
                <w:sz w:val="24"/>
                <w:szCs w:val="24"/>
              </w:rPr>
            </w:pPr>
            <w:r w:rsidRPr="00E667A3">
              <w:rPr>
                <w:rFonts w:ascii="仿宋" w:eastAsia="仿宋" w:hAnsi="仿宋"/>
                <w:sz w:val="24"/>
                <w:szCs w:val="24"/>
              </w:rPr>
              <w:t>1.赵楼煤矿安全专项整治三年行动“两个清单”只有第一批，其他没有，不符合《国家安全生产委员会关于印发&lt;全国安全生产专项整治三年行动计划&gt;的通知》（安委〔2020〕3号）的规定。2.《赵楼煤矿安全专项整治三年行动方案》有些内容不具体，如“打非治违”为监管监察部门职责，也列入矿井三年行动中，不符合《煤矿安全专项整治三年行动实施方案》（安委〔2020〕3号）的规定。3.</w:t>
            </w:r>
            <w:r w:rsidRPr="00E667A3">
              <w:rPr>
                <w:rFonts w:ascii="仿宋" w:eastAsia="仿宋" w:hAnsi="仿宋" w:hint="eastAsia"/>
                <w:sz w:val="24"/>
                <w:szCs w:val="24"/>
              </w:rPr>
              <w:t>中部辅运大巷掘进工作面迎头放炮喷雾不能覆盖巷道全断面，不符合《煤矿井下粉尘综合防治技术规范》（</w:t>
            </w:r>
            <w:r w:rsidRPr="00E667A3">
              <w:rPr>
                <w:rFonts w:ascii="仿宋" w:eastAsia="仿宋" w:hAnsi="仿宋"/>
                <w:sz w:val="24"/>
                <w:szCs w:val="24"/>
              </w:rPr>
              <w:t>AQ1020-2006）4.7.2.4的规定。4.5304综放工作面火灾重大风险的管控措施“每月推采不少于80米”，未根据《关于贯彻落实习近平总书记重要批示精神进一步加强安全生产工作的意见》（</w:t>
            </w:r>
            <w:r w:rsidRPr="00E667A3">
              <w:rPr>
                <w:rFonts w:ascii="仿宋" w:eastAsia="仿宋" w:hAnsi="仿宋" w:hint="eastAsia"/>
                <w:sz w:val="24"/>
                <w:szCs w:val="24"/>
              </w:rPr>
              <w:t>鲁厅字〔</w:t>
            </w:r>
            <w:r w:rsidRPr="00E667A3">
              <w:rPr>
                <w:rFonts w:ascii="仿宋" w:eastAsia="仿宋" w:hAnsi="仿宋"/>
                <w:sz w:val="24"/>
                <w:szCs w:val="24"/>
              </w:rPr>
              <w:t>2020〕8号）“采深超千米冲击地压煤矿每个采煤工作面推进速度控制在3刀/天以内”的要求进行调整。不符合《山东省安全生产风险管控办法》（山东省人民政府令第331号）第八条的规定。5.7301综放工作面、5304综放工作面地质说明书、水文地质情况评价和水害隐患治理情况分析报告未融合瞬变电磁、</w:t>
            </w:r>
            <w:r w:rsidRPr="00E667A3">
              <w:rPr>
                <w:rFonts w:ascii="仿宋" w:eastAsia="仿宋" w:hAnsi="仿宋" w:hint="eastAsia"/>
                <w:sz w:val="24"/>
                <w:szCs w:val="24"/>
              </w:rPr>
              <w:t>音频电磁测深、钻探资料等综合分析评价</w:t>
            </w:r>
            <w:r w:rsidRPr="00E667A3">
              <w:rPr>
                <w:rFonts w:ascii="仿宋" w:eastAsia="仿宋" w:hAnsi="仿宋"/>
                <w:sz w:val="24"/>
                <w:szCs w:val="24"/>
              </w:rPr>
              <w:t>7301综放工作面、5304综放工作面水文地质条件，不符合《煤矿安全规程》第三十一条、《煤矿防治水细则》第四十一条的规定。6.7301综放工作面、5304综放工作面临近FZ14断层、下</w:t>
            </w:r>
            <w:r w:rsidRPr="00E667A3">
              <w:rPr>
                <w:rFonts w:ascii="仿宋" w:eastAsia="仿宋" w:hAnsi="仿宋" w:hint="eastAsia"/>
                <w:sz w:val="24"/>
                <w:szCs w:val="24"/>
              </w:rPr>
              <w:t>伏有奥</w:t>
            </w:r>
            <w:r w:rsidRPr="00E667A3">
              <w:rPr>
                <w:rFonts w:ascii="仿宋" w:eastAsia="仿宋" w:hAnsi="仿宋" w:hint="eastAsia"/>
                <w:sz w:val="24"/>
                <w:szCs w:val="24"/>
              </w:rPr>
              <w:lastRenderedPageBreak/>
              <w:t>灰含水层，未针对</w:t>
            </w:r>
            <w:r w:rsidRPr="00E667A3">
              <w:rPr>
                <w:rFonts w:ascii="仿宋" w:eastAsia="仿宋" w:hAnsi="仿宋"/>
                <w:sz w:val="24"/>
                <w:szCs w:val="24"/>
              </w:rPr>
              <w:t>FZ14断层潜在导水风险、</w:t>
            </w:r>
            <w:r w:rsidRPr="00E667A3">
              <w:rPr>
                <w:rFonts w:ascii="仿宋" w:eastAsia="仿宋" w:hAnsi="仿宋" w:hint="eastAsia"/>
                <w:sz w:val="24"/>
                <w:szCs w:val="24"/>
              </w:rPr>
              <w:t>奥灰含水层潜在突水风险、隐伏构造导水风险进行风险辨识，不符合《煤矿安全风险分级管控和隐患排查治理双重预防机制实施指南》（</w:t>
            </w:r>
            <w:r w:rsidRPr="00E667A3">
              <w:rPr>
                <w:rFonts w:ascii="仿宋" w:eastAsia="仿宋" w:hAnsi="仿宋"/>
                <w:sz w:val="24"/>
                <w:szCs w:val="24"/>
              </w:rPr>
              <w:t>DB37/T3417-2018）5.2.1.1的规定。7.矿井水文地质信息管理系统不完善，没有实现矿井水文地质文字资料收集、数据采集、台账编制、图件绘制、计算评价和水害预测预报一体化的功能，不符合《煤矿防治水细则》第十九条的规定。8.《2019年矿井供电事故专项应急预案演练方案》缺少全矿停电、与上级供电公司联系沟通等演练内容，不符合《生产安全事故应急预案管理办法》第八条第二项规定</w:t>
            </w:r>
            <w:r>
              <w:rPr>
                <w:rFonts w:ascii="仿宋" w:eastAsia="仿宋" w:hAnsi="仿宋" w:hint="eastAsia"/>
                <w:sz w:val="24"/>
                <w:szCs w:val="24"/>
              </w:rPr>
              <w:t>。</w:t>
            </w:r>
            <w:r w:rsidRPr="00E667A3">
              <w:rPr>
                <w:rFonts w:ascii="仿宋" w:eastAsia="仿宋" w:hAnsi="仿宋"/>
                <w:sz w:val="24"/>
                <w:szCs w:val="24"/>
              </w:rPr>
              <w:t>9.7301采煤工作面113号与114号支架、65号与66号支架</w:t>
            </w:r>
            <w:r w:rsidRPr="00E667A3">
              <w:rPr>
                <w:rFonts w:ascii="仿宋" w:eastAsia="仿宋" w:hAnsi="仿宋" w:hint="eastAsia"/>
                <w:sz w:val="24"/>
                <w:szCs w:val="24"/>
              </w:rPr>
              <w:t>之间错茬超过顶梁厚度的</w:t>
            </w:r>
            <w:r w:rsidRPr="00E667A3">
              <w:rPr>
                <w:rFonts w:ascii="仿宋" w:eastAsia="仿宋" w:hAnsi="仿宋"/>
                <w:sz w:val="24"/>
                <w:szCs w:val="24"/>
              </w:rPr>
              <w:t>2/3；下</w:t>
            </w:r>
            <w:r w:rsidRPr="00E667A3">
              <w:rPr>
                <w:rFonts w:ascii="仿宋" w:eastAsia="仿宋" w:hAnsi="仿宋" w:hint="eastAsia"/>
                <w:sz w:val="24"/>
                <w:szCs w:val="24"/>
              </w:rPr>
              <w:t>端头支架接顶不实。不符合《</w:t>
            </w:r>
            <w:r w:rsidRPr="00E667A3">
              <w:rPr>
                <w:rFonts w:ascii="仿宋" w:eastAsia="仿宋" w:hAnsi="仿宋"/>
                <w:sz w:val="24"/>
                <w:szCs w:val="24"/>
              </w:rPr>
              <w:t>7301采煤工作面作业规程》规定</w:t>
            </w:r>
            <w:r w:rsidR="00CA177E">
              <w:rPr>
                <w:rFonts w:ascii="仿宋" w:eastAsia="仿宋" w:hAnsi="仿宋" w:hint="eastAsia"/>
                <w:sz w:val="24"/>
                <w:szCs w:val="24"/>
              </w:rPr>
              <w:t>。</w:t>
            </w:r>
            <w:r w:rsidRPr="00E667A3">
              <w:rPr>
                <w:rFonts w:ascii="仿宋" w:eastAsia="仿宋" w:hAnsi="仿宋"/>
                <w:sz w:val="24"/>
                <w:szCs w:val="24"/>
              </w:rPr>
              <w:t>10.</w:t>
            </w:r>
            <w:r w:rsidRPr="00E667A3">
              <w:rPr>
                <w:rFonts w:ascii="仿宋" w:eastAsia="仿宋" w:hAnsi="仿宋" w:hint="eastAsia"/>
                <w:sz w:val="24"/>
                <w:szCs w:val="24"/>
              </w:rPr>
              <w:t>五采南翼探巷掘进工作面和回风巷设置的甲烷传感器离巷帮不足</w:t>
            </w:r>
            <w:r w:rsidRPr="00E667A3">
              <w:rPr>
                <w:rFonts w:ascii="仿宋" w:eastAsia="仿宋" w:hAnsi="仿宋"/>
                <w:sz w:val="24"/>
                <w:szCs w:val="24"/>
              </w:rPr>
              <w:t>200mm。不符合《煤矿安全监控系统及检测仪器使用管理规范》（AQ1029-2019）6.1.1的规定。11.</w:t>
            </w:r>
            <w:r w:rsidRPr="00E667A3">
              <w:rPr>
                <w:rFonts w:ascii="仿宋" w:eastAsia="仿宋" w:hAnsi="仿宋" w:hint="eastAsia"/>
                <w:sz w:val="24"/>
                <w:szCs w:val="24"/>
              </w:rPr>
              <w:t>五采南翼探巷掘进工作面风筒传感器没有设置在风筒末端。不符合《煤矿安全监控系统及检测仪器使用管理规范》（</w:t>
            </w:r>
            <w:r w:rsidRPr="00E667A3">
              <w:rPr>
                <w:rFonts w:ascii="仿宋" w:eastAsia="仿宋" w:hAnsi="仿宋"/>
                <w:sz w:val="24"/>
                <w:szCs w:val="24"/>
              </w:rPr>
              <w:t>AQ1029-2019）7.11规定</w:t>
            </w:r>
            <w:r w:rsidR="00CA177E">
              <w:rPr>
                <w:rFonts w:ascii="仿宋" w:eastAsia="仿宋" w:hAnsi="仿宋" w:hint="eastAsia"/>
                <w:sz w:val="24"/>
                <w:szCs w:val="24"/>
              </w:rPr>
              <w:t>。</w:t>
            </w:r>
            <w:r w:rsidRPr="00E667A3">
              <w:rPr>
                <w:rFonts w:ascii="仿宋" w:eastAsia="仿宋" w:hAnsi="仿宋"/>
                <w:sz w:val="24"/>
                <w:szCs w:val="24"/>
              </w:rPr>
              <w:t xml:space="preserve">12.2020年6月1日以来，矿井未对永久密闭墙内的气体成分和空气温度定期进行分析。不符合《煤矿安全规程》第二百七十八条第一款第二项规定。 </w:t>
            </w:r>
          </w:p>
        </w:tc>
        <w:tc>
          <w:tcPr>
            <w:tcW w:w="1417" w:type="dxa"/>
            <w:vAlign w:val="center"/>
          </w:tcPr>
          <w:p w:rsidR="004002EC" w:rsidRPr="0042517A" w:rsidRDefault="004002EC" w:rsidP="004002EC">
            <w:pPr>
              <w:rPr>
                <w:rFonts w:ascii="仿宋_GB2312"/>
                <w:sz w:val="24"/>
                <w:szCs w:val="24"/>
              </w:rPr>
            </w:pPr>
          </w:p>
        </w:tc>
        <w:tc>
          <w:tcPr>
            <w:tcW w:w="1984" w:type="dxa"/>
            <w:vAlign w:val="center"/>
          </w:tcPr>
          <w:p w:rsidR="004002EC" w:rsidRPr="00FC2668" w:rsidRDefault="004002EC" w:rsidP="004002EC">
            <w:pPr>
              <w:rPr>
                <w:rFonts w:ascii="仿宋_GB2312"/>
                <w:sz w:val="24"/>
                <w:szCs w:val="24"/>
              </w:rPr>
            </w:pPr>
            <w:r w:rsidRPr="00401D83">
              <w:rPr>
                <w:rFonts w:ascii="仿宋_GB2312" w:hint="eastAsia"/>
                <w:sz w:val="24"/>
                <w:szCs w:val="24"/>
              </w:rPr>
              <w:t>《煤矿安全监察行政处罚办法》第六条</w:t>
            </w:r>
          </w:p>
        </w:tc>
        <w:tc>
          <w:tcPr>
            <w:tcW w:w="1276" w:type="dxa"/>
            <w:vAlign w:val="center"/>
          </w:tcPr>
          <w:p w:rsidR="004002EC" w:rsidRPr="0023558A" w:rsidRDefault="004002EC" w:rsidP="004002EC">
            <w:pPr>
              <w:rPr>
                <w:rFonts w:ascii="仿宋_GB2312" w:hAnsi="仿宋"/>
                <w:color w:val="000000"/>
                <w:sz w:val="24"/>
                <w:szCs w:val="24"/>
              </w:rPr>
            </w:pPr>
            <w:r>
              <w:rPr>
                <w:rFonts w:ascii="仿宋_GB2312" w:hAnsi="仿宋"/>
                <w:color w:val="000000"/>
                <w:sz w:val="24"/>
                <w:szCs w:val="24"/>
              </w:rPr>
              <w:t>责令改正</w:t>
            </w:r>
          </w:p>
        </w:tc>
      </w:tr>
    </w:tbl>
    <w:p w:rsidR="00E667A3" w:rsidRDefault="00E667A3">
      <w:pPr>
        <w:spacing w:line="560" w:lineRule="exact"/>
      </w:pPr>
      <w:bookmarkStart w:id="3" w:name="局外抄送单位"/>
      <w:bookmarkEnd w:id="3"/>
    </w:p>
    <w:sectPr w:rsidR="00E667A3" w:rsidSect="00E24D79">
      <w:footerReference w:type="even" r:id="rId9"/>
      <w:footerReference w:type="default" r:id="rId10"/>
      <w:pgSz w:w="16840" w:h="11907" w:orient="landscape" w:code="9"/>
      <w:pgMar w:top="1588" w:right="1134" w:bottom="1474" w:left="1134" w:header="851" w:footer="992"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3CB" w:rsidRDefault="003553CB">
      <w:r>
        <w:separator/>
      </w:r>
    </w:p>
  </w:endnote>
  <w:endnote w:type="continuationSeparator" w:id="0">
    <w:p w:rsidR="003553CB" w:rsidRDefault="00355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大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28772"/>
      <w:docPartObj>
        <w:docPartGallery w:val="Page Numbers (Bottom of Page)"/>
        <w:docPartUnique/>
      </w:docPartObj>
    </w:sdtPr>
    <w:sdtEndPr>
      <w:rPr>
        <w:rFonts w:ascii="宋体" w:eastAsia="宋体" w:hAnsi="宋体"/>
        <w:sz w:val="24"/>
        <w:szCs w:val="24"/>
      </w:rPr>
    </w:sdtEndPr>
    <w:sdtContent>
      <w:p w:rsidR="00E24D79" w:rsidRPr="00E24D79" w:rsidRDefault="00E24D79" w:rsidP="00E24D79">
        <w:pPr>
          <w:pStyle w:val="a3"/>
          <w:ind w:firstLineChars="100" w:firstLine="180"/>
          <w:rPr>
            <w:rFonts w:ascii="宋体" w:eastAsia="宋体" w:hAnsi="宋体"/>
            <w:sz w:val="24"/>
            <w:szCs w:val="24"/>
          </w:rPr>
        </w:pPr>
        <w:r w:rsidRPr="00E24D79">
          <w:rPr>
            <w:rFonts w:ascii="宋体" w:eastAsia="宋体" w:hAnsi="宋体"/>
            <w:sz w:val="24"/>
            <w:szCs w:val="24"/>
          </w:rPr>
          <w:fldChar w:fldCharType="begin"/>
        </w:r>
        <w:r w:rsidRPr="00E24D79">
          <w:rPr>
            <w:rFonts w:ascii="宋体" w:eastAsia="宋体" w:hAnsi="宋体"/>
            <w:sz w:val="24"/>
            <w:szCs w:val="24"/>
          </w:rPr>
          <w:instrText>PAGE   \* MERGEFORMAT</w:instrText>
        </w:r>
        <w:r w:rsidRPr="00E24D79">
          <w:rPr>
            <w:rFonts w:ascii="宋体" w:eastAsia="宋体" w:hAnsi="宋体"/>
            <w:sz w:val="24"/>
            <w:szCs w:val="24"/>
          </w:rPr>
          <w:fldChar w:fldCharType="separate"/>
        </w:r>
        <w:r w:rsidR="00BA3179" w:rsidRPr="00BA3179">
          <w:rPr>
            <w:rFonts w:ascii="宋体" w:eastAsia="宋体" w:hAnsi="宋体"/>
            <w:noProof/>
            <w:sz w:val="24"/>
            <w:szCs w:val="24"/>
            <w:lang w:val="zh-CN"/>
          </w:rPr>
          <w:t>-</w:t>
        </w:r>
        <w:r w:rsidR="00BA3179">
          <w:rPr>
            <w:rFonts w:ascii="宋体" w:eastAsia="宋体" w:hAnsi="宋体"/>
            <w:noProof/>
            <w:sz w:val="24"/>
            <w:szCs w:val="24"/>
          </w:rPr>
          <w:t xml:space="preserve"> 2 -</w:t>
        </w:r>
        <w:r w:rsidRPr="00E24D79">
          <w:rPr>
            <w:rFonts w:ascii="宋体" w:eastAsia="宋体" w:hAnsi="宋体"/>
            <w:sz w:val="24"/>
            <w:szCs w:val="24"/>
          </w:rPr>
          <w:fldChar w:fldCharType="end"/>
        </w:r>
      </w:p>
    </w:sdtContent>
  </w:sdt>
  <w:p w:rsidR="0068125E" w:rsidRDefault="003553CB" w:rsidP="0068125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80370"/>
      <w:docPartObj>
        <w:docPartGallery w:val="Page Numbers (Bottom of Page)"/>
        <w:docPartUnique/>
      </w:docPartObj>
    </w:sdtPr>
    <w:sdtEndPr>
      <w:rPr>
        <w:rFonts w:ascii="宋体" w:eastAsia="宋体" w:hAnsi="宋体"/>
        <w:sz w:val="24"/>
        <w:szCs w:val="24"/>
      </w:rPr>
    </w:sdtEndPr>
    <w:sdtContent>
      <w:p w:rsidR="00E24D79" w:rsidRPr="00E24D79" w:rsidRDefault="00E24D79" w:rsidP="00E24D79">
        <w:pPr>
          <w:pStyle w:val="a3"/>
          <w:ind w:right="180"/>
          <w:jc w:val="right"/>
          <w:rPr>
            <w:rFonts w:ascii="宋体" w:eastAsia="宋体" w:hAnsi="宋体"/>
            <w:sz w:val="24"/>
            <w:szCs w:val="24"/>
          </w:rPr>
        </w:pPr>
        <w:r w:rsidRPr="00E24D79">
          <w:rPr>
            <w:rFonts w:ascii="宋体" w:eastAsia="宋体" w:hAnsi="宋体"/>
            <w:sz w:val="24"/>
            <w:szCs w:val="24"/>
          </w:rPr>
          <w:fldChar w:fldCharType="begin"/>
        </w:r>
        <w:r w:rsidRPr="00E24D79">
          <w:rPr>
            <w:rFonts w:ascii="宋体" w:eastAsia="宋体" w:hAnsi="宋体"/>
            <w:sz w:val="24"/>
            <w:szCs w:val="24"/>
          </w:rPr>
          <w:instrText>PAGE   \* MERGEFORMAT</w:instrText>
        </w:r>
        <w:r w:rsidRPr="00E24D79">
          <w:rPr>
            <w:rFonts w:ascii="宋体" w:eastAsia="宋体" w:hAnsi="宋体"/>
            <w:sz w:val="24"/>
            <w:szCs w:val="24"/>
          </w:rPr>
          <w:fldChar w:fldCharType="separate"/>
        </w:r>
        <w:r w:rsidR="00BA3179" w:rsidRPr="00BA3179">
          <w:rPr>
            <w:rFonts w:ascii="宋体" w:eastAsia="宋体" w:hAnsi="宋体"/>
            <w:noProof/>
            <w:sz w:val="24"/>
            <w:szCs w:val="24"/>
            <w:lang w:val="zh-CN"/>
          </w:rPr>
          <w:t>-</w:t>
        </w:r>
        <w:r w:rsidR="00BA3179">
          <w:rPr>
            <w:rFonts w:ascii="宋体" w:eastAsia="宋体" w:hAnsi="宋体"/>
            <w:noProof/>
            <w:sz w:val="24"/>
            <w:szCs w:val="24"/>
          </w:rPr>
          <w:t xml:space="preserve"> 3 -</w:t>
        </w:r>
        <w:r w:rsidRPr="00E24D79">
          <w:rPr>
            <w:rFonts w:ascii="宋体" w:eastAsia="宋体" w:hAnsi="宋体"/>
            <w:sz w:val="24"/>
            <w:szCs w:val="24"/>
          </w:rPr>
          <w:fldChar w:fldCharType="end"/>
        </w:r>
      </w:p>
    </w:sdtContent>
  </w:sdt>
  <w:p w:rsidR="0068125E" w:rsidRDefault="003553CB" w:rsidP="0068125E">
    <w:pPr>
      <w:pStyle w:val="a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3CB" w:rsidRDefault="003553CB">
      <w:r>
        <w:separator/>
      </w:r>
    </w:p>
  </w:footnote>
  <w:footnote w:type="continuationSeparator" w:id="0">
    <w:p w:rsidR="003553CB" w:rsidRDefault="00355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2F6"/>
    <w:multiLevelType w:val="hybridMultilevel"/>
    <w:tmpl w:val="323C7FCC"/>
    <w:lvl w:ilvl="0" w:tplc="A91AF838">
      <w:start w:val="1"/>
      <w:numFmt w:val="decimal"/>
      <w:lvlText w:val="%1."/>
      <w:lvlJc w:val="left"/>
      <w:pPr>
        <w:ind w:left="3915" w:hanging="391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朱由军">
    <w15:presenceInfo w15:providerId="None" w15:userId="朱由军"/>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trackRevisions/>
  <w:defaultTabStop w:val="420"/>
  <w:evenAndOddHeaders/>
  <w:drawingGridHorizontalSpacing w:val="177"/>
  <w:drawingGridVerticalSpacing w:val="31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num" w:val="公告〔2020〕第20号"/>
  </w:docVars>
  <w:rsids>
    <w:rsidRoot w:val="00991881"/>
    <w:rsid w:val="00007688"/>
    <w:rsid w:val="00035D75"/>
    <w:rsid w:val="000540AE"/>
    <w:rsid w:val="000707C8"/>
    <w:rsid w:val="0008489E"/>
    <w:rsid w:val="000E2516"/>
    <w:rsid w:val="000E7707"/>
    <w:rsid w:val="00137D99"/>
    <w:rsid w:val="0014636C"/>
    <w:rsid w:val="00146F21"/>
    <w:rsid w:val="00147F39"/>
    <w:rsid w:val="00150F7A"/>
    <w:rsid w:val="0018245D"/>
    <w:rsid w:val="001C745D"/>
    <w:rsid w:val="001F332F"/>
    <w:rsid w:val="00212ECD"/>
    <w:rsid w:val="0023558A"/>
    <w:rsid w:val="00246A04"/>
    <w:rsid w:val="00246A34"/>
    <w:rsid w:val="00246B0A"/>
    <w:rsid w:val="00282B93"/>
    <w:rsid w:val="002C4460"/>
    <w:rsid w:val="002F651E"/>
    <w:rsid w:val="003553CB"/>
    <w:rsid w:val="003B59A9"/>
    <w:rsid w:val="003D0C24"/>
    <w:rsid w:val="004002EC"/>
    <w:rsid w:val="00401D83"/>
    <w:rsid w:val="004349D1"/>
    <w:rsid w:val="004A1C63"/>
    <w:rsid w:val="004F57AE"/>
    <w:rsid w:val="005078E8"/>
    <w:rsid w:val="00513611"/>
    <w:rsid w:val="00513C71"/>
    <w:rsid w:val="00524943"/>
    <w:rsid w:val="00531919"/>
    <w:rsid w:val="00584FC1"/>
    <w:rsid w:val="00592C9F"/>
    <w:rsid w:val="00592D46"/>
    <w:rsid w:val="005B4BA9"/>
    <w:rsid w:val="005C0DD2"/>
    <w:rsid w:val="005D7A8E"/>
    <w:rsid w:val="005D7EFF"/>
    <w:rsid w:val="005F2DA1"/>
    <w:rsid w:val="005F324B"/>
    <w:rsid w:val="005F4D98"/>
    <w:rsid w:val="00601859"/>
    <w:rsid w:val="00625194"/>
    <w:rsid w:val="00655CDB"/>
    <w:rsid w:val="00675928"/>
    <w:rsid w:val="006B501D"/>
    <w:rsid w:val="00701166"/>
    <w:rsid w:val="00740AB4"/>
    <w:rsid w:val="00745E14"/>
    <w:rsid w:val="00755D7B"/>
    <w:rsid w:val="007B0AE7"/>
    <w:rsid w:val="007E2413"/>
    <w:rsid w:val="007F1C69"/>
    <w:rsid w:val="0083374A"/>
    <w:rsid w:val="00845AB8"/>
    <w:rsid w:val="00857934"/>
    <w:rsid w:val="00862A03"/>
    <w:rsid w:val="00872362"/>
    <w:rsid w:val="008A5090"/>
    <w:rsid w:val="00901CED"/>
    <w:rsid w:val="00933373"/>
    <w:rsid w:val="0093400D"/>
    <w:rsid w:val="00940F0E"/>
    <w:rsid w:val="00944379"/>
    <w:rsid w:val="009474DA"/>
    <w:rsid w:val="00955AA1"/>
    <w:rsid w:val="009677A0"/>
    <w:rsid w:val="00982874"/>
    <w:rsid w:val="00991881"/>
    <w:rsid w:val="009C4C87"/>
    <w:rsid w:val="009F0743"/>
    <w:rsid w:val="009F43E9"/>
    <w:rsid w:val="00AB2680"/>
    <w:rsid w:val="00B10D48"/>
    <w:rsid w:val="00B17E8B"/>
    <w:rsid w:val="00B2521E"/>
    <w:rsid w:val="00B25897"/>
    <w:rsid w:val="00B94BF0"/>
    <w:rsid w:val="00BA3179"/>
    <w:rsid w:val="00BA4D96"/>
    <w:rsid w:val="00C1760D"/>
    <w:rsid w:val="00C300CD"/>
    <w:rsid w:val="00C416B5"/>
    <w:rsid w:val="00C474C2"/>
    <w:rsid w:val="00C54A0C"/>
    <w:rsid w:val="00C73773"/>
    <w:rsid w:val="00CA177E"/>
    <w:rsid w:val="00CD2744"/>
    <w:rsid w:val="00CE471C"/>
    <w:rsid w:val="00D030F6"/>
    <w:rsid w:val="00D03D50"/>
    <w:rsid w:val="00D4449B"/>
    <w:rsid w:val="00D50638"/>
    <w:rsid w:val="00D53FEF"/>
    <w:rsid w:val="00D62D40"/>
    <w:rsid w:val="00D77AAA"/>
    <w:rsid w:val="00D95B3E"/>
    <w:rsid w:val="00DA07D5"/>
    <w:rsid w:val="00DA2C3E"/>
    <w:rsid w:val="00DB39E6"/>
    <w:rsid w:val="00E24D79"/>
    <w:rsid w:val="00E602FD"/>
    <w:rsid w:val="00E667A3"/>
    <w:rsid w:val="00E87934"/>
    <w:rsid w:val="00EF1452"/>
    <w:rsid w:val="00F0484F"/>
    <w:rsid w:val="00F9622A"/>
    <w:rsid w:val="00FA11EC"/>
    <w:rsid w:val="00FB6901"/>
    <w:rsid w:val="00FF10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1881"/>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uiPriority w:val="99"/>
    <w:rsid w:val="00991881"/>
    <w:rPr>
      <w:rFonts w:ascii="Times New Roman" w:eastAsia="仿宋_GB2312" w:hAnsi="Times New Roman" w:cs="Times New Roman"/>
      <w:sz w:val="18"/>
      <w:szCs w:val="18"/>
    </w:rPr>
  </w:style>
  <w:style w:type="character" w:styleId="a4">
    <w:name w:val="page number"/>
    <w:basedOn w:val="a0"/>
    <w:rsid w:val="00991881"/>
  </w:style>
  <w:style w:type="paragraph" w:styleId="a5">
    <w:name w:val="List Paragraph"/>
    <w:basedOn w:val="a"/>
    <w:uiPriority w:val="34"/>
    <w:qFormat/>
    <w:rsid w:val="0093400D"/>
    <w:pPr>
      <w:ind w:firstLineChars="200" w:firstLine="420"/>
    </w:pPr>
  </w:style>
  <w:style w:type="paragraph" w:styleId="a6">
    <w:name w:val="header"/>
    <w:basedOn w:val="a"/>
    <w:link w:val="Char0"/>
    <w:uiPriority w:val="99"/>
    <w:unhideWhenUsed/>
    <w:rsid w:val="004A1C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A1C63"/>
    <w:rPr>
      <w:rFonts w:eastAsia="仿宋_GB2312"/>
      <w:sz w:val="18"/>
      <w:szCs w:val="18"/>
    </w:rPr>
  </w:style>
  <w:style w:type="paragraph" w:styleId="a7">
    <w:name w:val="Balloon Text"/>
    <w:basedOn w:val="a"/>
    <w:link w:val="Char1"/>
    <w:uiPriority w:val="99"/>
    <w:semiHidden/>
    <w:unhideWhenUsed/>
    <w:rsid w:val="009F0743"/>
    <w:rPr>
      <w:sz w:val="18"/>
      <w:szCs w:val="18"/>
    </w:rPr>
  </w:style>
  <w:style w:type="character" w:customStyle="1" w:styleId="Char1">
    <w:name w:val="批注框文本 Char"/>
    <w:basedOn w:val="a0"/>
    <w:link w:val="a7"/>
    <w:uiPriority w:val="99"/>
    <w:semiHidden/>
    <w:rsid w:val="009F0743"/>
    <w:rPr>
      <w:rFonts w:eastAsia="仿宋_GB231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991881"/>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3"/>
    <w:uiPriority w:val="99"/>
    <w:rsid w:val="00991881"/>
    <w:rPr>
      <w:rFonts w:ascii="Times New Roman" w:eastAsia="仿宋_GB2312" w:hAnsi="Times New Roman" w:cs="Times New Roman"/>
      <w:sz w:val="18"/>
      <w:szCs w:val="18"/>
    </w:rPr>
  </w:style>
  <w:style w:type="character" w:styleId="a4">
    <w:name w:val="page number"/>
    <w:basedOn w:val="a0"/>
    <w:rsid w:val="00991881"/>
  </w:style>
  <w:style w:type="paragraph" w:styleId="a5">
    <w:name w:val="List Paragraph"/>
    <w:basedOn w:val="a"/>
    <w:uiPriority w:val="34"/>
    <w:qFormat/>
    <w:rsid w:val="0093400D"/>
    <w:pPr>
      <w:ind w:firstLineChars="200" w:firstLine="420"/>
    </w:pPr>
  </w:style>
  <w:style w:type="paragraph" w:styleId="a6">
    <w:name w:val="header"/>
    <w:basedOn w:val="a"/>
    <w:link w:val="Char0"/>
    <w:uiPriority w:val="99"/>
    <w:unhideWhenUsed/>
    <w:rsid w:val="004A1C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4A1C63"/>
    <w:rPr>
      <w:rFonts w:eastAsia="仿宋_GB2312"/>
      <w:sz w:val="18"/>
      <w:szCs w:val="18"/>
    </w:rPr>
  </w:style>
  <w:style w:type="paragraph" w:styleId="a7">
    <w:name w:val="Balloon Text"/>
    <w:basedOn w:val="a"/>
    <w:link w:val="Char1"/>
    <w:uiPriority w:val="99"/>
    <w:semiHidden/>
    <w:unhideWhenUsed/>
    <w:rsid w:val="009F0743"/>
    <w:rPr>
      <w:sz w:val="18"/>
      <w:szCs w:val="18"/>
    </w:rPr>
  </w:style>
  <w:style w:type="character" w:customStyle="1" w:styleId="Char1">
    <w:name w:val="批注框文本 Char"/>
    <w:basedOn w:val="a0"/>
    <w:link w:val="a7"/>
    <w:uiPriority w:val="99"/>
    <w:semiHidden/>
    <w:rsid w:val="009F0743"/>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225016">
      <w:bodyDiv w:val="1"/>
      <w:marLeft w:val="0"/>
      <w:marRight w:val="0"/>
      <w:marTop w:val="0"/>
      <w:marBottom w:val="0"/>
      <w:divBdr>
        <w:top w:val="none" w:sz="0" w:space="0" w:color="auto"/>
        <w:left w:val="none" w:sz="0" w:space="0" w:color="auto"/>
        <w:bottom w:val="none" w:sz="0" w:space="0" w:color="auto"/>
        <w:right w:val="none" w:sz="0" w:space="0" w:color="auto"/>
      </w:divBdr>
      <w:divsChild>
        <w:div w:id="1145971525">
          <w:marLeft w:val="0"/>
          <w:marRight w:val="0"/>
          <w:marTop w:val="15"/>
          <w:marBottom w:val="0"/>
          <w:divBdr>
            <w:top w:val="none" w:sz="0" w:space="0" w:color="auto"/>
            <w:left w:val="none" w:sz="0" w:space="0" w:color="auto"/>
            <w:bottom w:val="none" w:sz="0" w:space="0" w:color="auto"/>
            <w:right w:val="none" w:sz="0" w:space="0" w:color="auto"/>
          </w:divBdr>
          <w:divsChild>
            <w:div w:id="1485387575">
              <w:marLeft w:val="0"/>
              <w:marRight w:val="0"/>
              <w:marTop w:val="0"/>
              <w:marBottom w:val="0"/>
              <w:divBdr>
                <w:top w:val="none" w:sz="0" w:space="0" w:color="auto"/>
                <w:left w:val="none" w:sz="0" w:space="0" w:color="auto"/>
                <w:bottom w:val="none" w:sz="0" w:space="0" w:color="auto"/>
                <w:right w:val="none" w:sz="0" w:space="0" w:color="auto"/>
              </w:divBdr>
            </w:div>
          </w:divsChild>
        </w:div>
        <w:div w:id="696657974">
          <w:marLeft w:val="0"/>
          <w:marRight w:val="0"/>
          <w:marTop w:val="15"/>
          <w:marBottom w:val="0"/>
          <w:divBdr>
            <w:top w:val="none" w:sz="0" w:space="0" w:color="auto"/>
            <w:left w:val="none" w:sz="0" w:space="0" w:color="auto"/>
            <w:bottom w:val="none" w:sz="0" w:space="0" w:color="auto"/>
            <w:right w:val="none" w:sz="0" w:space="0" w:color="auto"/>
          </w:divBdr>
          <w:divsChild>
            <w:div w:id="5969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1592">
      <w:bodyDiv w:val="1"/>
      <w:marLeft w:val="0"/>
      <w:marRight w:val="0"/>
      <w:marTop w:val="0"/>
      <w:marBottom w:val="0"/>
      <w:divBdr>
        <w:top w:val="none" w:sz="0" w:space="0" w:color="auto"/>
        <w:left w:val="none" w:sz="0" w:space="0" w:color="auto"/>
        <w:bottom w:val="none" w:sz="0" w:space="0" w:color="auto"/>
        <w:right w:val="none" w:sz="0" w:space="0" w:color="auto"/>
      </w:divBdr>
      <w:divsChild>
        <w:div w:id="1925449395">
          <w:marLeft w:val="0"/>
          <w:marRight w:val="0"/>
          <w:marTop w:val="15"/>
          <w:marBottom w:val="0"/>
          <w:divBdr>
            <w:top w:val="none" w:sz="0" w:space="0" w:color="auto"/>
            <w:left w:val="none" w:sz="0" w:space="0" w:color="auto"/>
            <w:bottom w:val="none" w:sz="0" w:space="0" w:color="auto"/>
            <w:right w:val="none" w:sz="0" w:space="0" w:color="auto"/>
          </w:divBdr>
          <w:divsChild>
            <w:div w:id="982613284">
              <w:marLeft w:val="0"/>
              <w:marRight w:val="0"/>
              <w:marTop w:val="0"/>
              <w:marBottom w:val="0"/>
              <w:divBdr>
                <w:top w:val="none" w:sz="0" w:space="0" w:color="auto"/>
                <w:left w:val="none" w:sz="0" w:space="0" w:color="auto"/>
                <w:bottom w:val="none" w:sz="0" w:space="0" w:color="auto"/>
                <w:right w:val="none" w:sz="0" w:space="0" w:color="auto"/>
              </w:divBdr>
            </w:div>
          </w:divsChild>
        </w:div>
        <w:div w:id="619216627">
          <w:marLeft w:val="0"/>
          <w:marRight w:val="0"/>
          <w:marTop w:val="15"/>
          <w:marBottom w:val="0"/>
          <w:divBdr>
            <w:top w:val="none" w:sz="0" w:space="0" w:color="auto"/>
            <w:left w:val="none" w:sz="0" w:space="0" w:color="auto"/>
            <w:bottom w:val="none" w:sz="0" w:space="0" w:color="auto"/>
            <w:right w:val="none" w:sz="0" w:space="0" w:color="auto"/>
          </w:divBdr>
          <w:divsChild>
            <w:div w:id="33144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3A6D-C6A3-4BF2-8685-AD79DE47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242</Words>
  <Characters>1383</Characters>
  <Application>Microsoft Office Word</Application>
  <DocSecurity>0</DocSecurity>
  <Lines>11</Lines>
  <Paragraphs>3</Paragraphs>
  <ScaleCrop>false</ScaleCrop>
  <Company>sdmj</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杨成超</dc:creator>
  <cp:lastModifiedBy>打字室1</cp:lastModifiedBy>
  <cp:revision>2</cp:revision>
  <cp:lastPrinted>2020-11-11T00:49:00Z</cp:lastPrinted>
  <dcterms:created xsi:type="dcterms:W3CDTF">2020-11-11T06:45:00Z</dcterms:created>
  <dcterms:modified xsi:type="dcterms:W3CDTF">2020-11-11T06:45:00Z</dcterms:modified>
</cp:coreProperties>
</file>